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23" w:rsidRDefault="00160D13" w:rsidP="00B70B30">
      <w:pPr>
        <w:jc w:val="center"/>
        <w:rPr>
          <w:b/>
          <w:sz w:val="32"/>
        </w:rPr>
      </w:pPr>
      <w:r>
        <w:rPr>
          <w:b/>
          <w:sz w:val="32"/>
        </w:rPr>
        <w:t>GAS</w:t>
      </w:r>
      <w:r w:rsidR="00B70B30">
        <w:rPr>
          <w:b/>
          <w:sz w:val="32"/>
        </w:rPr>
        <w:t xml:space="preserve"> </w:t>
      </w:r>
      <w:r w:rsidR="00E41B49">
        <w:rPr>
          <w:b/>
          <w:sz w:val="32"/>
        </w:rPr>
        <w:t>GRIDDLE</w:t>
      </w:r>
    </w:p>
    <w:p w:rsidR="00B70B30" w:rsidRDefault="00471AF1" w:rsidP="00B70B30">
      <w:pPr>
        <w:jc w:val="center"/>
        <w:rPr>
          <w:b/>
          <w:sz w:val="32"/>
        </w:rPr>
      </w:pPr>
      <w:r>
        <w:rPr>
          <w:rFonts w:eastAsiaTheme="minorEastAsia" w:hint="eastAsia"/>
          <w:b/>
          <w:sz w:val="32"/>
          <w:lang w:eastAsia="zh-CN"/>
        </w:rPr>
        <w:t>GG</w:t>
      </w:r>
      <w:r w:rsidR="001A2023">
        <w:rPr>
          <w:b/>
          <w:sz w:val="32"/>
        </w:rPr>
        <w:t xml:space="preserve"> </w:t>
      </w:r>
      <w:r w:rsidR="00C61744">
        <w:rPr>
          <w:b/>
          <w:sz w:val="32"/>
        </w:rPr>
        <w:t>Series</w:t>
      </w:r>
      <w:r w:rsidR="00B70B30">
        <w:rPr>
          <w:b/>
          <w:sz w:val="32"/>
        </w:rPr>
        <w:t xml:space="preserve"> </w:t>
      </w:r>
    </w:p>
    <w:p w:rsidR="00B70B30" w:rsidRDefault="00B70B30" w:rsidP="00B70B30">
      <w:pPr>
        <w:rPr>
          <w:b/>
          <w:sz w:val="32"/>
        </w:rPr>
      </w:pPr>
    </w:p>
    <w:p w:rsidR="00B70B30" w:rsidRDefault="00B70B30" w:rsidP="00B70B30">
      <w:pPr>
        <w:rPr>
          <w:b/>
          <w:sz w:val="32"/>
        </w:rPr>
      </w:pPr>
    </w:p>
    <w:p w:rsidR="00B70B30" w:rsidRDefault="00B70B30" w:rsidP="00B70B30">
      <w:pPr>
        <w:rPr>
          <w:b/>
          <w:sz w:val="32"/>
        </w:rPr>
      </w:pPr>
      <w:r>
        <w:rPr>
          <w:b/>
          <w:sz w:val="32"/>
        </w:rPr>
        <w:t>Read this manual carefully before using the appliance.</w:t>
      </w:r>
    </w:p>
    <w:p w:rsidR="00B70B30" w:rsidRDefault="00B70B30" w:rsidP="00B70B30">
      <w:r>
        <w:t>Keep the manual for future consultation after installation.</w:t>
      </w:r>
      <w:r w:rsidR="00B33FFB">
        <w:t xml:space="preserve"> And to instruction of how to use </w:t>
      </w:r>
    </w:p>
    <w:p w:rsidR="00B70B30" w:rsidRDefault="00B70B30" w:rsidP="00B70B30">
      <w:r>
        <w:t xml:space="preserve">This manual contains information </w:t>
      </w:r>
      <w:r w:rsidR="00E72497">
        <w:t xml:space="preserve">for FED </w:t>
      </w:r>
      <w:r>
        <w:t>appliances.</w:t>
      </w:r>
    </w:p>
    <w:p w:rsidR="00B70B30" w:rsidRDefault="00B70B30" w:rsidP="00B70B30"/>
    <w:p w:rsidR="00B70B30" w:rsidRDefault="00B70B30" w:rsidP="00B70B30">
      <w:r>
        <w:t xml:space="preserve">See the appliance data plate positioned </w:t>
      </w:r>
      <w:r w:rsidR="00B33FFB">
        <w:t xml:space="preserve">at the front of </w:t>
      </w:r>
      <w:r w:rsidR="001A2023">
        <w:t xml:space="preserve"> appliance</w:t>
      </w:r>
      <w:r w:rsidR="00B33FFB">
        <w:t xml:space="preserve"> on</w:t>
      </w:r>
      <w:r w:rsidR="001A2023">
        <w:t xml:space="preserve"> </w:t>
      </w:r>
      <w:r w:rsidRPr="005E0667">
        <w:t>the</w:t>
      </w:r>
      <w:r>
        <w:t xml:space="preserve"> control panel in order to identify the appliance product code.</w:t>
      </w:r>
    </w:p>
    <w:p w:rsidR="00B70B30" w:rsidRDefault="00B70B30" w:rsidP="00B70B30"/>
    <w:p w:rsidR="00B70B30" w:rsidRDefault="00B70B30" w:rsidP="00B70B30">
      <w:r>
        <w:t>Only install the appliance in a well ventilated place. Inadequate ventilation causes asphyxia. Do not obstruct the ventilation system in the place where the appliance is installed. Do not obstruct the vents or ducts of this or other appliances.</w:t>
      </w:r>
    </w:p>
    <w:p w:rsidR="00B70B30" w:rsidRDefault="00B70B30" w:rsidP="00B70B30"/>
    <w:p w:rsidR="00B70B30" w:rsidRDefault="00B70B30" w:rsidP="00B70B30">
      <w:r>
        <w:t>Installation</w:t>
      </w:r>
      <w:r w:rsidR="00B33FFB">
        <w:t xml:space="preserve"> must be in accordance to AS /NZS 5601.1  GAS CODES  M</w:t>
      </w:r>
      <w:r>
        <w:t>aintenance and conversion to other gas types must only be carried out only by an authorised person(s). For after sales assistance, contact an authorised service agent or the supplier. Demand original spare parts.</w:t>
      </w:r>
    </w:p>
    <w:p w:rsidR="00B70B30" w:rsidRDefault="00B70B30" w:rsidP="00B70B30"/>
    <w:p w:rsidR="00B70B30" w:rsidRDefault="00B70B30" w:rsidP="00B70B30">
      <w:r>
        <w:t>This appliance is designed for cooking foodstuffs. It is intended for commercial use only. Any other use is to be considered improper.</w:t>
      </w:r>
    </w:p>
    <w:p w:rsidR="00B70B30" w:rsidRDefault="00B70B30" w:rsidP="00B70B30"/>
    <w:p w:rsidR="00B70B30" w:rsidRDefault="00B70B30" w:rsidP="00B70B30">
      <w:r>
        <w:t xml:space="preserve">Personnel using the appliance must be trained. Do not leave the appliance unattended when it is working. </w:t>
      </w:r>
    </w:p>
    <w:p w:rsidR="00B70B30" w:rsidRDefault="00B70B30" w:rsidP="00B70B30"/>
    <w:p w:rsidR="00B70B30" w:rsidRDefault="00B70B30" w:rsidP="00B70B30">
      <w:r>
        <w:t>Turn off the appliance in case of fault</w:t>
      </w:r>
      <w:r w:rsidR="000E0C5A">
        <w:t xml:space="preserve">, </w:t>
      </w:r>
      <w:r>
        <w:t>poor operation</w:t>
      </w:r>
      <w:r w:rsidR="000E0C5A">
        <w:t xml:space="preserve"> or if you smell gas</w:t>
      </w:r>
      <w:r>
        <w:t>.</w:t>
      </w:r>
    </w:p>
    <w:p w:rsidR="00B70B30" w:rsidRDefault="00B70B30" w:rsidP="00B70B30"/>
    <w:p w:rsidR="00B70B30" w:rsidRDefault="00B70B30" w:rsidP="00B70B30">
      <w:r>
        <w:t>Do not use products (even diluted) containing chlorine (sodium hypochlorite, hydrochloric or muriatic acid, etc) to clean the appliance or the floor under the appliance.</w:t>
      </w:r>
    </w:p>
    <w:p w:rsidR="00B70B30" w:rsidRDefault="00B70B30" w:rsidP="00B70B30"/>
    <w:p w:rsidR="00B70B30" w:rsidRDefault="00B70B30" w:rsidP="00B70B30">
      <w:r>
        <w:t>D</w:t>
      </w:r>
      <w:r w:rsidR="00150EAA">
        <w:t>O NOT SPRAY AEROSOLS IN THE VICINITY OF THIS APPLIANCE WHILE IT IS IN OPERATION</w:t>
      </w:r>
      <w:r>
        <w:t>.</w:t>
      </w:r>
    </w:p>
    <w:p w:rsidR="00B70B30" w:rsidRDefault="00B70B30" w:rsidP="00B70B30"/>
    <w:p w:rsidR="00B70B30" w:rsidRDefault="00B70B30" w:rsidP="00B70B30">
      <w:r>
        <w:t>Do not use metal tools to clean steel parts (wire brushes or Scotch Brite type scouring pads).</w:t>
      </w:r>
    </w:p>
    <w:p w:rsidR="00B70B30" w:rsidRDefault="00B70B30" w:rsidP="00B70B30"/>
    <w:p w:rsidR="00B70B30" w:rsidRDefault="00BE284C" w:rsidP="00B70B30">
      <w:r>
        <w:t>Do not store chemicals in or near this appliance.</w:t>
      </w:r>
    </w:p>
    <w:p w:rsidR="00BE284C" w:rsidRDefault="00BE284C" w:rsidP="00B70B30"/>
    <w:p w:rsidR="00B70B30" w:rsidRDefault="00B70B30" w:rsidP="00B70B30">
      <w:r>
        <w:t>Do not allow dirt, fat, food or other to form deposits on the appliance.</w:t>
      </w:r>
    </w:p>
    <w:p w:rsidR="00B70B30" w:rsidRDefault="00B70B30" w:rsidP="00B70B30"/>
    <w:p w:rsidR="00B70B30" w:rsidRDefault="00B70B30" w:rsidP="00B70B30">
      <w:r>
        <w:t>Do not clean the appliance with direct jets of water.</w:t>
      </w:r>
    </w:p>
    <w:p w:rsidR="00B70B30" w:rsidRDefault="00B70B30" w:rsidP="00B70B30"/>
    <w:p w:rsidR="00B70B30" w:rsidRDefault="00B70B30" w:rsidP="00B70B30">
      <w:r>
        <w:t>Failure to observe the above instructions can compromise the safety of the appliance.</w:t>
      </w:r>
    </w:p>
    <w:p w:rsidR="00E72497" w:rsidRDefault="00E72497" w:rsidP="00B70B30"/>
    <w:p w:rsidR="00B70B30" w:rsidRDefault="00E72497" w:rsidP="00B70B30">
      <w:r>
        <w:t>WARNING: Improper installation, adjustment, alteration, service or maintenance can cause property damage, injury or death, Read the installation, operation and maintenance instructions thoroughly before installing or servicing this equipment.</w:t>
      </w:r>
    </w:p>
    <w:p w:rsidR="00E72497" w:rsidRDefault="00E72497" w:rsidP="00B70B30"/>
    <w:p w:rsidR="00B70B30" w:rsidRDefault="00E72497" w:rsidP="00B70B30">
      <w:r>
        <w:lastRenderedPageBreak/>
        <w:t>The area where the appliance is installed must be kept clear of combustibles and flammables. This includes mops, rags, grease wrapping paper and electrical equipment (cords)</w:t>
      </w:r>
    </w:p>
    <w:p w:rsidR="00D33257" w:rsidRDefault="00D33257" w:rsidP="00D33257">
      <w:pPr>
        <w:rPr>
          <w:b/>
          <w:sz w:val="32"/>
        </w:rPr>
      </w:pPr>
      <w:r>
        <w:rPr>
          <w:b/>
          <w:sz w:val="32"/>
        </w:rPr>
        <w:t>Dimensions:</w:t>
      </w:r>
    </w:p>
    <w:p w:rsidR="00D33257" w:rsidRDefault="00D33257" w:rsidP="00D33257">
      <w:pP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1134"/>
        <w:gridCol w:w="1276"/>
        <w:gridCol w:w="1276"/>
        <w:gridCol w:w="1488"/>
        <w:gridCol w:w="1488"/>
      </w:tblGrid>
      <w:tr w:rsidR="00D33257" w:rsidTr="001A2023">
        <w:tc>
          <w:tcPr>
            <w:tcW w:w="1384" w:type="dxa"/>
          </w:tcPr>
          <w:p w:rsidR="00D33257" w:rsidRDefault="00D33257" w:rsidP="00030467">
            <w:pPr>
              <w:rPr>
                <w:b/>
              </w:rPr>
            </w:pPr>
            <w:r>
              <w:rPr>
                <w:b/>
              </w:rPr>
              <w:t>Model</w:t>
            </w:r>
          </w:p>
        </w:tc>
        <w:tc>
          <w:tcPr>
            <w:tcW w:w="1134" w:type="dxa"/>
          </w:tcPr>
          <w:p w:rsidR="00D33257" w:rsidRDefault="00D33257" w:rsidP="00030467">
            <w:pPr>
              <w:jc w:val="center"/>
            </w:pPr>
            <w:r>
              <w:t>Height</w:t>
            </w:r>
          </w:p>
        </w:tc>
        <w:tc>
          <w:tcPr>
            <w:tcW w:w="1134" w:type="dxa"/>
          </w:tcPr>
          <w:p w:rsidR="00D33257" w:rsidRDefault="00D33257" w:rsidP="00030467">
            <w:pPr>
              <w:jc w:val="center"/>
            </w:pPr>
            <w:r>
              <w:t>Width</w:t>
            </w:r>
          </w:p>
        </w:tc>
        <w:tc>
          <w:tcPr>
            <w:tcW w:w="1276" w:type="dxa"/>
          </w:tcPr>
          <w:p w:rsidR="00D33257" w:rsidRDefault="00D33257" w:rsidP="00030467">
            <w:pPr>
              <w:jc w:val="center"/>
            </w:pPr>
            <w:r>
              <w:t>Depth</w:t>
            </w:r>
          </w:p>
        </w:tc>
        <w:tc>
          <w:tcPr>
            <w:tcW w:w="1276" w:type="dxa"/>
          </w:tcPr>
          <w:p w:rsidR="00D33257" w:rsidRDefault="00D33257" w:rsidP="00030467">
            <w:pPr>
              <w:jc w:val="center"/>
            </w:pPr>
            <w:r>
              <w:t>Weight</w:t>
            </w:r>
          </w:p>
        </w:tc>
        <w:tc>
          <w:tcPr>
            <w:tcW w:w="2976" w:type="dxa"/>
            <w:gridSpan w:val="2"/>
          </w:tcPr>
          <w:p w:rsidR="00D33257" w:rsidRDefault="00D33257" w:rsidP="00030467">
            <w:pPr>
              <w:jc w:val="center"/>
            </w:pPr>
            <w:r>
              <w:t>Gas Cons</w:t>
            </w:r>
            <w:r w:rsidR="001A2023">
              <w:t xml:space="preserve"> MJ/h</w:t>
            </w:r>
          </w:p>
        </w:tc>
      </w:tr>
      <w:tr w:rsidR="001A2023" w:rsidTr="001A2023">
        <w:tc>
          <w:tcPr>
            <w:tcW w:w="1384" w:type="dxa"/>
          </w:tcPr>
          <w:p w:rsidR="001A2023" w:rsidRPr="00471AF1" w:rsidRDefault="00471AF1" w:rsidP="00030467">
            <w:pPr>
              <w:jc w:val="center"/>
              <w:rPr>
                <w:rFonts w:eastAsiaTheme="minorEastAsia"/>
                <w:b/>
                <w:lang w:eastAsia="zh-CN"/>
              </w:rPr>
            </w:pPr>
            <w:r>
              <w:rPr>
                <w:rFonts w:eastAsiaTheme="minorEastAsia" w:hint="eastAsia"/>
                <w:b/>
                <w:lang w:eastAsia="zh-CN"/>
              </w:rPr>
              <w:t>GG-24</w:t>
            </w:r>
          </w:p>
        </w:tc>
        <w:tc>
          <w:tcPr>
            <w:tcW w:w="1134" w:type="dxa"/>
          </w:tcPr>
          <w:p w:rsidR="001A2023" w:rsidRDefault="00471AF1" w:rsidP="00030467">
            <w:pPr>
              <w:jc w:val="center"/>
            </w:pPr>
            <w:r>
              <w:t>4</w:t>
            </w:r>
            <w:r>
              <w:rPr>
                <w:rFonts w:eastAsiaTheme="minorEastAsia" w:hint="eastAsia"/>
                <w:lang w:eastAsia="zh-CN"/>
              </w:rPr>
              <w:t>12</w:t>
            </w:r>
            <w:r w:rsidR="001A2023">
              <w:t>mm</w:t>
            </w:r>
          </w:p>
        </w:tc>
        <w:tc>
          <w:tcPr>
            <w:tcW w:w="1134" w:type="dxa"/>
          </w:tcPr>
          <w:p w:rsidR="001A2023" w:rsidRDefault="00471AF1" w:rsidP="00030467">
            <w:pPr>
              <w:jc w:val="center"/>
            </w:pPr>
            <w:r>
              <w:rPr>
                <w:rFonts w:eastAsiaTheme="minorEastAsia" w:hint="eastAsia"/>
                <w:lang w:eastAsia="zh-CN"/>
              </w:rPr>
              <w:t>610</w:t>
            </w:r>
            <w:r w:rsidR="001A2023">
              <w:t>mm</w:t>
            </w:r>
          </w:p>
        </w:tc>
        <w:tc>
          <w:tcPr>
            <w:tcW w:w="1276" w:type="dxa"/>
          </w:tcPr>
          <w:p w:rsidR="001A2023" w:rsidRDefault="00471AF1" w:rsidP="00030467">
            <w:pPr>
              <w:jc w:val="center"/>
            </w:pPr>
            <w:r>
              <w:rPr>
                <w:rFonts w:eastAsiaTheme="minorEastAsia" w:hint="eastAsia"/>
                <w:lang w:eastAsia="zh-CN"/>
              </w:rPr>
              <w:t>761</w:t>
            </w:r>
            <w:r w:rsidR="001A2023">
              <w:t>mm</w:t>
            </w:r>
          </w:p>
        </w:tc>
        <w:tc>
          <w:tcPr>
            <w:tcW w:w="1276" w:type="dxa"/>
          </w:tcPr>
          <w:p w:rsidR="001A2023" w:rsidRDefault="00471AF1" w:rsidP="00030467">
            <w:pPr>
              <w:jc w:val="center"/>
            </w:pPr>
            <w:r>
              <w:rPr>
                <w:rFonts w:eastAsiaTheme="minorEastAsia" w:hint="eastAsia"/>
                <w:lang w:eastAsia="zh-CN"/>
              </w:rPr>
              <w:t>80</w:t>
            </w:r>
            <w:r w:rsidR="001A2023">
              <w:t>KG</w:t>
            </w:r>
          </w:p>
        </w:tc>
        <w:tc>
          <w:tcPr>
            <w:tcW w:w="1488" w:type="dxa"/>
          </w:tcPr>
          <w:p w:rsidR="001A2023" w:rsidRDefault="001A2023" w:rsidP="00030467">
            <w:pPr>
              <w:jc w:val="center"/>
            </w:pPr>
            <w:r>
              <w:t>56 NG</w:t>
            </w:r>
          </w:p>
        </w:tc>
        <w:tc>
          <w:tcPr>
            <w:tcW w:w="1488" w:type="dxa"/>
          </w:tcPr>
          <w:p w:rsidR="001A2023" w:rsidRDefault="00ED01AC" w:rsidP="00030467">
            <w:pPr>
              <w:jc w:val="center"/>
            </w:pPr>
            <w:r>
              <w:t>54  U</w:t>
            </w:r>
            <w:r w:rsidR="00B33FFB">
              <w:t>L</w:t>
            </w:r>
            <w:r>
              <w:t>PG</w:t>
            </w:r>
          </w:p>
        </w:tc>
      </w:tr>
      <w:tr w:rsidR="001A2023" w:rsidTr="001A2023">
        <w:tc>
          <w:tcPr>
            <w:tcW w:w="1384" w:type="dxa"/>
          </w:tcPr>
          <w:p w:rsidR="001A2023" w:rsidRPr="00471AF1" w:rsidRDefault="00471AF1" w:rsidP="00030467">
            <w:pPr>
              <w:jc w:val="center"/>
              <w:rPr>
                <w:rFonts w:eastAsiaTheme="minorEastAsia"/>
                <w:b/>
                <w:lang w:eastAsia="zh-CN"/>
              </w:rPr>
            </w:pPr>
            <w:r>
              <w:rPr>
                <w:rFonts w:eastAsiaTheme="minorEastAsia" w:hint="eastAsia"/>
                <w:b/>
                <w:lang w:eastAsia="zh-CN"/>
              </w:rPr>
              <w:t>GG-36</w:t>
            </w:r>
          </w:p>
        </w:tc>
        <w:tc>
          <w:tcPr>
            <w:tcW w:w="1134" w:type="dxa"/>
          </w:tcPr>
          <w:p w:rsidR="001A2023" w:rsidRDefault="00471AF1" w:rsidP="00030467">
            <w:pPr>
              <w:jc w:val="center"/>
            </w:pPr>
            <w:r>
              <w:t>4</w:t>
            </w:r>
            <w:r>
              <w:rPr>
                <w:rFonts w:eastAsiaTheme="minorEastAsia" w:hint="eastAsia"/>
                <w:lang w:eastAsia="zh-CN"/>
              </w:rPr>
              <w:t>12</w:t>
            </w:r>
            <w:r w:rsidR="001A2023">
              <w:t>mm</w:t>
            </w:r>
          </w:p>
        </w:tc>
        <w:tc>
          <w:tcPr>
            <w:tcW w:w="1134" w:type="dxa"/>
          </w:tcPr>
          <w:p w:rsidR="001A2023" w:rsidRDefault="001A2023" w:rsidP="00030467">
            <w:pPr>
              <w:jc w:val="center"/>
            </w:pPr>
            <w:r>
              <w:t>915mm</w:t>
            </w:r>
          </w:p>
        </w:tc>
        <w:tc>
          <w:tcPr>
            <w:tcW w:w="1276" w:type="dxa"/>
          </w:tcPr>
          <w:p w:rsidR="001A2023" w:rsidRDefault="00471AF1" w:rsidP="00BE284C">
            <w:pPr>
              <w:jc w:val="center"/>
            </w:pPr>
            <w:r>
              <w:rPr>
                <w:rFonts w:eastAsiaTheme="minorEastAsia" w:hint="eastAsia"/>
                <w:lang w:eastAsia="zh-CN"/>
              </w:rPr>
              <w:t>761</w:t>
            </w:r>
            <w:r w:rsidR="001A2023">
              <w:t>mm</w:t>
            </w:r>
          </w:p>
        </w:tc>
        <w:tc>
          <w:tcPr>
            <w:tcW w:w="1276" w:type="dxa"/>
          </w:tcPr>
          <w:p w:rsidR="001A2023" w:rsidRDefault="00471AF1" w:rsidP="00030467">
            <w:pPr>
              <w:jc w:val="center"/>
            </w:pPr>
            <w:r>
              <w:t>1</w:t>
            </w:r>
            <w:r>
              <w:rPr>
                <w:rFonts w:eastAsiaTheme="minorEastAsia" w:hint="eastAsia"/>
                <w:lang w:eastAsia="zh-CN"/>
              </w:rPr>
              <w:t>1</w:t>
            </w:r>
            <w:r w:rsidR="001A2023">
              <w:t>0kg</w:t>
            </w:r>
          </w:p>
        </w:tc>
        <w:tc>
          <w:tcPr>
            <w:tcW w:w="1488" w:type="dxa"/>
          </w:tcPr>
          <w:p w:rsidR="001A2023" w:rsidRDefault="001A2023" w:rsidP="00030467">
            <w:pPr>
              <w:jc w:val="center"/>
            </w:pPr>
            <w:r>
              <w:t>84</w:t>
            </w:r>
            <w:r w:rsidR="00C869EE">
              <w:t xml:space="preserve"> NG</w:t>
            </w:r>
          </w:p>
        </w:tc>
        <w:tc>
          <w:tcPr>
            <w:tcW w:w="1488" w:type="dxa"/>
          </w:tcPr>
          <w:p w:rsidR="001A2023" w:rsidRDefault="001A2023" w:rsidP="00030467">
            <w:pPr>
              <w:jc w:val="center"/>
            </w:pPr>
            <w:r>
              <w:t>81</w:t>
            </w:r>
            <w:r w:rsidR="00ED01AC">
              <w:t xml:space="preserve"> ULPG</w:t>
            </w:r>
          </w:p>
        </w:tc>
      </w:tr>
      <w:tr w:rsidR="001A2023" w:rsidTr="001A2023">
        <w:tc>
          <w:tcPr>
            <w:tcW w:w="1384" w:type="dxa"/>
          </w:tcPr>
          <w:p w:rsidR="001A2023" w:rsidRPr="00471AF1" w:rsidRDefault="00471AF1" w:rsidP="00030467">
            <w:pPr>
              <w:jc w:val="center"/>
              <w:rPr>
                <w:rFonts w:eastAsiaTheme="minorEastAsia"/>
                <w:b/>
                <w:lang w:eastAsia="zh-CN"/>
              </w:rPr>
            </w:pPr>
            <w:r>
              <w:rPr>
                <w:rFonts w:eastAsiaTheme="minorEastAsia" w:hint="eastAsia"/>
                <w:b/>
                <w:lang w:eastAsia="zh-CN"/>
              </w:rPr>
              <w:t>GG-48</w:t>
            </w:r>
          </w:p>
        </w:tc>
        <w:tc>
          <w:tcPr>
            <w:tcW w:w="1134" w:type="dxa"/>
          </w:tcPr>
          <w:p w:rsidR="001A2023" w:rsidRDefault="00471AF1" w:rsidP="00030467">
            <w:pPr>
              <w:jc w:val="center"/>
            </w:pPr>
            <w:r>
              <w:t>4</w:t>
            </w:r>
            <w:r>
              <w:rPr>
                <w:rFonts w:eastAsiaTheme="minorEastAsia" w:hint="eastAsia"/>
                <w:lang w:eastAsia="zh-CN"/>
              </w:rPr>
              <w:t>12</w:t>
            </w:r>
            <w:r w:rsidR="001A2023">
              <w:t>mm</w:t>
            </w:r>
          </w:p>
        </w:tc>
        <w:tc>
          <w:tcPr>
            <w:tcW w:w="1134" w:type="dxa"/>
          </w:tcPr>
          <w:p w:rsidR="001A2023" w:rsidRDefault="001A2023" w:rsidP="00030467">
            <w:pPr>
              <w:jc w:val="center"/>
            </w:pPr>
            <w:r>
              <w:t>1220mm</w:t>
            </w:r>
          </w:p>
        </w:tc>
        <w:tc>
          <w:tcPr>
            <w:tcW w:w="1276" w:type="dxa"/>
          </w:tcPr>
          <w:p w:rsidR="001A2023" w:rsidRDefault="00471AF1" w:rsidP="00030467">
            <w:pPr>
              <w:jc w:val="center"/>
            </w:pPr>
            <w:r>
              <w:rPr>
                <w:rFonts w:eastAsiaTheme="minorEastAsia" w:hint="eastAsia"/>
                <w:lang w:eastAsia="zh-CN"/>
              </w:rPr>
              <w:t>761</w:t>
            </w:r>
            <w:r w:rsidR="001A2023">
              <w:t>mm</w:t>
            </w:r>
          </w:p>
        </w:tc>
        <w:tc>
          <w:tcPr>
            <w:tcW w:w="1276" w:type="dxa"/>
          </w:tcPr>
          <w:p w:rsidR="001A2023" w:rsidRDefault="00471AF1" w:rsidP="00030467">
            <w:pPr>
              <w:jc w:val="center"/>
            </w:pPr>
            <w:r>
              <w:t>1</w:t>
            </w:r>
            <w:r>
              <w:rPr>
                <w:rFonts w:eastAsiaTheme="minorEastAsia" w:hint="eastAsia"/>
                <w:lang w:eastAsia="zh-CN"/>
              </w:rPr>
              <w:t>52</w:t>
            </w:r>
            <w:r w:rsidR="001A2023">
              <w:t>kg</w:t>
            </w:r>
          </w:p>
        </w:tc>
        <w:tc>
          <w:tcPr>
            <w:tcW w:w="1488" w:type="dxa"/>
          </w:tcPr>
          <w:p w:rsidR="001A2023" w:rsidRDefault="001A2023" w:rsidP="00030467">
            <w:pPr>
              <w:jc w:val="center"/>
            </w:pPr>
            <w:r>
              <w:t>112</w:t>
            </w:r>
            <w:r w:rsidR="00C869EE">
              <w:t xml:space="preserve"> NG</w:t>
            </w:r>
          </w:p>
        </w:tc>
        <w:tc>
          <w:tcPr>
            <w:tcW w:w="1488" w:type="dxa"/>
          </w:tcPr>
          <w:p w:rsidR="001A2023" w:rsidRDefault="001A2023" w:rsidP="00030467">
            <w:pPr>
              <w:jc w:val="center"/>
            </w:pPr>
            <w:r>
              <w:t>108</w:t>
            </w:r>
            <w:r w:rsidR="00ED01AC">
              <w:t xml:space="preserve"> ULPG</w:t>
            </w:r>
          </w:p>
        </w:tc>
      </w:tr>
      <w:tr w:rsidR="00BE284C" w:rsidTr="00D55060">
        <w:tc>
          <w:tcPr>
            <w:tcW w:w="9180" w:type="dxa"/>
            <w:gridSpan w:val="7"/>
          </w:tcPr>
          <w:p w:rsidR="00BE284C" w:rsidRDefault="00BE284C" w:rsidP="00D33257">
            <w:r>
              <w:t>Gas Connection at right side rear 50mm from side, 150mm from top</w:t>
            </w:r>
          </w:p>
        </w:tc>
      </w:tr>
    </w:tbl>
    <w:p w:rsidR="00D33257" w:rsidRDefault="00D33257" w:rsidP="00D33257">
      <w:pPr>
        <w:rPr>
          <w:b/>
          <w:sz w:val="32"/>
        </w:rPr>
      </w:pPr>
    </w:p>
    <w:p w:rsidR="00D33257" w:rsidRDefault="00D33257" w:rsidP="00D33257">
      <w:pPr>
        <w:rPr>
          <w:b/>
          <w:sz w:val="32"/>
        </w:rPr>
      </w:pPr>
      <w:r>
        <w:rPr>
          <w:b/>
          <w:sz w:val="32"/>
        </w:rPr>
        <w:t>Technical Information:</w:t>
      </w:r>
    </w:p>
    <w:p w:rsidR="00D33257" w:rsidRDefault="00D33257" w:rsidP="00D33257">
      <w:pPr>
        <w:rPr>
          <w:b/>
          <w:sz w:val="32"/>
        </w:rPr>
      </w:pPr>
      <w:r>
        <w:rPr>
          <w:b/>
          <w:sz w:val="32"/>
        </w:rPr>
        <w:t>Gas:</w:t>
      </w:r>
    </w:p>
    <w:p w:rsidR="00D33257" w:rsidRDefault="00D33257" w:rsidP="00D33257">
      <w:pP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D33257" w:rsidTr="00030467">
        <w:tc>
          <w:tcPr>
            <w:tcW w:w="2952" w:type="dxa"/>
          </w:tcPr>
          <w:p w:rsidR="00D33257" w:rsidRDefault="00D33257" w:rsidP="00030467">
            <w:pPr>
              <w:rPr>
                <w:b/>
              </w:rPr>
            </w:pPr>
            <w:r>
              <w:rPr>
                <w:b/>
              </w:rPr>
              <w:t>Burner : Char - Grill</w:t>
            </w:r>
          </w:p>
        </w:tc>
        <w:tc>
          <w:tcPr>
            <w:tcW w:w="2952" w:type="dxa"/>
          </w:tcPr>
          <w:p w:rsidR="00D33257" w:rsidRDefault="00D33257" w:rsidP="00030467">
            <w:pPr>
              <w:jc w:val="center"/>
              <w:rPr>
                <w:b/>
              </w:rPr>
            </w:pPr>
            <w:r>
              <w:rPr>
                <w:b/>
              </w:rPr>
              <w:t>Natural Gas</w:t>
            </w:r>
          </w:p>
        </w:tc>
        <w:tc>
          <w:tcPr>
            <w:tcW w:w="2952" w:type="dxa"/>
          </w:tcPr>
          <w:p w:rsidR="00D33257" w:rsidRDefault="00B33FFB" w:rsidP="00B33FFB">
            <w:pPr>
              <w:rPr>
                <w:b/>
              </w:rPr>
            </w:pPr>
            <w:r>
              <w:rPr>
                <w:b/>
              </w:rPr>
              <w:t xml:space="preserve">          </w:t>
            </w:r>
            <w:r w:rsidR="00471AF1">
              <w:rPr>
                <w:rFonts w:eastAsiaTheme="minorEastAsia" w:hint="eastAsia"/>
                <w:b/>
                <w:lang w:eastAsia="zh-CN"/>
              </w:rPr>
              <w:t xml:space="preserve"> </w:t>
            </w:r>
            <w:r>
              <w:rPr>
                <w:b/>
              </w:rPr>
              <w:t xml:space="preserve">  UL</w:t>
            </w:r>
            <w:r w:rsidR="00ED01AC">
              <w:rPr>
                <w:b/>
              </w:rPr>
              <w:t>PG</w:t>
            </w:r>
          </w:p>
        </w:tc>
      </w:tr>
      <w:tr w:rsidR="00D33257" w:rsidTr="00030467">
        <w:tc>
          <w:tcPr>
            <w:tcW w:w="2952" w:type="dxa"/>
          </w:tcPr>
          <w:p w:rsidR="00D33257" w:rsidRDefault="00D33257" w:rsidP="00030467">
            <w:pPr>
              <w:rPr>
                <w:b/>
              </w:rPr>
            </w:pPr>
            <w:r>
              <w:rPr>
                <w:b/>
              </w:rPr>
              <w:t>Gas Consumption MJ/h</w:t>
            </w:r>
          </w:p>
        </w:tc>
        <w:tc>
          <w:tcPr>
            <w:tcW w:w="2952" w:type="dxa"/>
          </w:tcPr>
          <w:p w:rsidR="00D33257" w:rsidRDefault="001A2023" w:rsidP="00030467">
            <w:pPr>
              <w:jc w:val="center"/>
              <w:rPr>
                <w:b/>
              </w:rPr>
            </w:pPr>
            <w:r>
              <w:rPr>
                <w:b/>
              </w:rPr>
              <w:t>28 / burner</w:t>
            </w:r>
          </w:p>
        </w:tc>
        <w:tc>
          <w:tcPr>
            <w:tcW w:w="2952" w:type="dxa"/>
          </w:tcPr>
          <w:p w:rsidR="00D33257" w:rsidRDefault="001A2023" w:rsidP="00030467">
            <w:pPr>
              <w:jc w:val="center"/>
              <w:rPr>
                <w:b/>
              </w:rPr>
            </w:pPr>
            <w:r>
              <w:rPr>
                <w:b/>
              </w:rPr>
              <w:t>27 / burner</w:t>
            </w:r>
          </w:p>
        </w:tc>
      </w:tr>
      <w:tr w:rsidR="00D33257" w:rsidTr="00030467">
        <w:tc>
          <w:tcPr>
            <w:tcW w:w="2952" w:type="dxa"/>
          </w:tcPr>
          <w:p w:rsidR="00D33257" w:rsidRDefault="00D33257" w:rsidP="00030467">
            <w:pPr>
              <w:rPr>
                <w:b/>
              </w:rPr>
            </w:pPr>
            <w:r>
              <w:rPr>
                <w:b/>
              </w:rPr>
              <w:t>Injector Size mm</w:t>
            </w:r>
          </w:p>
        </w:tc>
        <w:tc>
          <w:tcPr>
            <w:tcW w:w="2952" w:type="dxa"/>
          </w:tcPr>
          <w:p w:rsidR="00D33257" w:rsidRPr="00471AF1" w:rsidRDefault="00FF5CDA" w:rsidP="001A2023">
            <w:pPr>
              <w:jc w:val="center"/>
              <w:rPr>
                <w:rFonts w:eastAsiaTheme="minorEastAsia"/>
                <w:b/>
                <w:lang w:eastAsia="zh-CN"/>
              </w:rPr>
            </w:pPr>
            <w:r>
              <w:rPr>
                <w:b/>
              </w:rPr>
              <w:t>2.</w:t>
            </w:r>
            <w:r w:rsidR="00471AF1">
              <w:rPr>
                <w:rFonts w:eastAsiaTheme="minorEastAsia" w:hint="eastAsia"/>
                <w:b/>
                <w:lang w:eastAsia="zh-CN"/>
              </w:rPr>
              <w:t>7</w:t>
            </w:r>
          </w:p>
        </w:tc>
        <w:tc>
          <w:tcPr>
            <w:tcW w:w="2952" w:type="dxa"/>
          </w:tcPr>
          <w:p w:rsidR="00D33257" w:rsidRPr="00471AF1" w:rsidRDefault="00FF5CDA" w:rsidP="001A2023">
            <w:pPr>
              <w:jc w:val="center"/>
              <w:rPr>
                <w:rFonts w:eastAsiaTheme="minorEastAsia"/>
                <w:b/>
                <w:lang w:eastAsia="zh-CN"/>
              </w:rPr>
            </w:pPr>
            <w:r>
              <w:rPr>
                <w:b/>
              </w:rPr>
              <w:t>1.</w:t>
            </w:r>
            <w:r w:rsidR="00471AF1">
              <w:rPr>
                <w:rFonts w:eastAsiaTheme="minorEastAsia" w:hint="eastAsia"/>
                <w:b/>
                <w:lang w:eastAsia="zh-CN"/>
              </w:rPr>
              <w:t>7</w:t>
            </w:r>
          </w:p>
        </w:tc>
      </w:tr>
      <w:tr w:rsidR="00D33257" w:rsidTr="00030467">
        <w:tc>
          <w:tcPr>
            <w:tcW w:w="2952" w:type="dxa"/>
          </w:tcPr>
          <w:p w:rsidR="00D33257" w:rsidRDefault="00D33257" w:rsidP="00030467">
            <w:pPr>
              <w:rPr>
                <w:b/>
              </w:rPr>
            </w:pPr>
            <w:r>
              <w:rPr>
                <w:b/>
              </w:rPr>
              <w:t>Test Point Pressure kPa</w:t>
            </w:r>
          </w:p>
        </w:tc>
        <w:tc>
          <w:tcPr>
            <w:tcW w:w="2952" w:type="dxa"/>
          </w:tcPr>
          <w:p w:rsidR="00D33257" w:rsidRDefault="00D33257" w:rsidP="00030467">
            <w:pPr>
              <w:jc w:val="center"/>
              <w:rPr>
                <w:b/>
              </w:rPr>
            </w:pPr>
            <w:r>
              <w:rPr>
                <w:b/>
              </w:rPr>
              <w:t>1.0kPa</w:t>
            </w:r>
          </w:p>
        </w:tc>
        <w:tc>
          <w:tcPr>
            <w:tcW w:w="2952" w:type="dxa"/>
          </w:tcPr>
          <w:p w:rsidR="00D33257" w:rsidRDefault="00D33257" w:rsidP="00030467">
            <w:pPr>
              <w:jc w:val="center"/>
              <w:rPr>
                <w:b/>
              </w:rPr>
            </w:pPr>
            <w:r>
              <w:rPr>
                <w:b/>
              </w:rPr>
              <w:t>2.65kPa</w:t>
            </w:r>
          </w:p>
        </w:tc>
      </w:tr>
      <w:tr w:rsidR="00D33257" w:rsidTr="00030467">
        <w:tc>
          <w:tcPr>
            <w:tcW w:w="2952" w:type="dxa"/>
          </w:tcPr>
          <w:p w:rsidR="00D33257" w:rsidRDefault="00B33FFB" w:rsidP="00030467">
            <w:pPr>
              <w:rPr>
                <w:b/>
              </w:rPr>
            </w:pPr>
            <w:r>
              <w:rPr>
                <w:b/>
              </w:rPr>
              <w:t>Inlet Pressure Range KPA</w:t>
            </w:r>
          </w:p>
        </w:tc>
        <w:tc>
          <w:tcPr>
            <w:tcW w:w="2952" w:type="dxa"/>
          </w:tcPr>
          <w:p w:rsidR="00D33257" w:rsidRDefault="00B33FFB" w:rsidP="00B33FFB">
            <w:pPr>
              <w:rPr>
                <w:b/>
              </w:rPr>
            </w:pPr>
            <w:r>
              <w:rPr>
                <w:b/>
              </w:rPr>
              <w:t xml:space="preserve">    1.13- 1.2 KPA</w:t>
            </w:r>
          </w:p>
        </w:tc>
        <w:tc>
          <w:tcPr>
            <w:tcW w:w="2952" w:type="dxa"/>
          </w:tcPr>
          <w:p w:rsidR="00D33257" w:rsidRDefault="00773D0A" w:rsidP="00773D0A">
            <w:pPr>
              <w:rPr>
                <w:b/>
              </w:rPr>
            </w:pPr>
            <w:r>
              <w:rPr>
                <w:b/>
              </w:rPr>
              <w:t xml:space="preserve">     2.75- 2.80 KPA </w:t>
            </w:r>
          </w:p>
        </w:tc>
      </w:tr>
    </w:tbl>
    <w:p w:rsidR="00D33257" w:rsidRDefault="00D33257" w:rsidP="00D33257">
      <w:pPr>
        <w:rPr>
          <w:b/>
          <w:sz w:val="32"/>
        </w:rPr>
      </w:pPr>
    </w:p>
    <w:p w:rsidR="00B70B30" w:rsidRDefault="00B70B30" w:rsidP="00B70B30">
      <w:pPr>
        <w:pStyle w:val="Heading1"/>
      </w:pPr>
      <w:r>
        <w:t>Packaging</w:t>
      </w:r>
    </w:p>
    <w:p w:rsidR="00B70B30" w:rsidRDefault="00B70B30" w:rsidP="00B70B30">
      <w:r>
        <w:t>Packing materials are environmentally friendly and can be stored without risk, or burned in a special waste incineration plant</w:t>
      </w:r>
      <w:r w:rsidR="00ED01AC">
        <w:t xml:space="preserve"> OR</w:t>
      </w:r>
      <w:r w:rsidR="00773D0A">
        <w:t xml:space="preserve"> recycled</w:t>
      </w:r>
    </w:p>
    <w:p w:rsidR="00B70B30" w:rsidRDefault="00B70B30" w:rsidP="00B70B30">
      <w:pPr>
        <w:rPr>
          <w:b/>
          <w:sz w:val="32"/>
        </w:rPr>
      </w:pPr>
    </w:p>
    <w:p w:rsidR="00B70B30" w:rsidRDefault="00B70B30" w:rsidP="00B70B30">
      <w:pPr>
        <w:pStyle w:val="Heading1"/>
      </w:pPr>
      <w:r>
        <w:t>Use</w:t>
      </w:r>
    </w:p>
    <w:p w:rsidR="00E72497" w:rsidRDefault="00E72497" w:rsidP="00B70B30">
      <w:r>
        <w:t>During operation some parts of the appliance may be very hot! Never touch any hot parts without gloves on.</w:t>
      </w:r>
    </w:p>
    <w:p w:rsidR="00B70B30" w:rsidRDefault="00B70B30" w:rsidP="00B70B30">
      <w:r>
        <w:t xml:space="preserve">Our appliances offer high performance and efficiency. To reduce consumption of gas, electricity or water, do not use appliance when empty or in conditions that compromise its optimal efficiency (e.g. with doors or lids open, </w:t>
      </w:r>
      <w:r w:rsidR="00BB50D1">
        <w:t>etc.</w:t>
      </w:r>
      <w:r>
        <w:t>). When possible, preheat only before use.</w:t>
      </w:r>
    </w:p>
    <w:p w:rsidR="00B70B30" w:rsidRDefault="00B70B30" w:rsidP="00B70B30"/>
    <w:p w:rsidR="00B70B30" w:rsidRDefault="00B70B30" w:rsidP="00B70B30">
      <w:pPr>
        <w:pStyle w:val="Heading1"/>
      </w:pPr>
      <w:r>
        <w:t>Cleaning</w:t>
      </w:r>
    </w:p>
    <w:p w:rsidR="00B70B30" w:rsidRDefault="00B70B30" w:rsidP="00B70B30">
      <w:r>
        <w:t>In order to reduce the emission of pollutants into the environment, clean the appliance (externally and when necessary internally) with products which are more than 90% biodegradable.</w:t>
      </w:r>
    </w:p>
    <w:p w:rsidR="00B70B30" w:rsidRDefault="00B70B30" w:rsidP="00B70B30"/>
    <w:p w:rsidR="00B70B30" w:rsidRDefault="00B70B30" w:rsidP="00B70B30">
      <w:pPr>
        <w:pStyle w:val="Heading1"/>
      </w:pPr>
      <w:r>
        <w:t>Installation</w:t>
      </w:r>
    </w:p>
    <w:p w:rsidR="00B70B30" w:rsidRDefault="00B70B30" w:rsidP="00B70B30"/>
    <w:p w:rsidR="00B70B30" w:rsidRDefault="00B70B30" w:rsidP="00B70B30">
      <w:r>
        <w:t xml:space="preserve">Installation must be carried out only by authorised, licensed installers in accordance with these instructions, local </w:t>
      </w:r>
      <w:r w:rsidR="00BB50D1">
        <w:t>gas fitting</w:t>
      </w:r>
      <w:r>
        <w:t xml:space="preserve"> regulations, local building codes, water supply regulations, electrical wiring regulations, the Gas Installation Code AS</w:t>
      </w:r>
      <w:r w:rsidR="00150EAA">
        <w:t xml:space="preserve">/NZS </w:t>
      </w:r>
      <w:r>
        <w:t>5601</w:t>
      </w:r>
      <w:r w:rsidR="00150EAA">
        <w:t>.1</w:t>
      </w:r>
      <w:r>
        <w:t xml:space="preserve"> and any other relevant statutory regulations.</w:t>
      </w:r>
    </w:p>
    <w:p w:rsidR="00B70B30" w:rsidRDefault="00B70B30" w:rsidP="00B70B30"/>
    <w:p w:rsidR="00B70B30" w:rsidRDefault="00B70B30" w:rsidP="00B70B30">
      <w:pPr>
        <w:pStyle w:val="Heading1"/>
      </w:pPr>
      <w:r>
        <w:t>Unpacking</w:t>
      </w:r>
    </w:p>
    <w:p w:rsidR="00B70B30" w:rsidRDefault="00B70B30" w:rsidP="00B70B30">
      <w:r>
        <w:t>Remove the packing.</w:t>
      </w:r>
    </w:p>
    <w:p w:rsidR="00B70B30" w:rsidRDefault="00B70B30" w:rsidP="00B70B30">
      <w:r>
        <w:t>Carefully remove the protective film from metal surfaces.</w:t>
      </w:r>
    </w:p>
    <w:p w:rsidR="00B70B30" w:rsidRDefault="00B70B30" w:rsidP="00B70B30">
      <w:r>
        <w:t>Remove any traces of glue using a suitable solvent.</w:t>
      </w:r>
    </w:p>
    <w:p w:rsidR="00B70B30" w:rsidRDefault="00B70B30" w:rsidP="00B70B30"/>
    <w:p w:rsidR="00B70B30" w:rsidRDefault="00B70B30" w:rsidP="00B70B30">
      <w:pPr>
        <w:rPr>
          <w:b/>
          <w:sz w:val="28"/>
        </w:rPr>
      </w:pPr>
      <w:r>
        <w:rPr>
          <w:b/>
          <w:sz w:val="28"/>
        </w:rPr>
        <w:t>Importantly:</w:t>
      </w:r>
    </w:p>
    <w:p w:rsidR="00B70B30" w:rsidRDefault="00B70B30" w:rsidP="00B70B30">
      <w:r>
        <w:t>Immediately check for any caused during transport.</w:t>
      </w:r>
    </w:p>
    <w:p w:rsidR="00B70B30" w:rsidRDefault="00B70B30" w:rsidP="00B70B30">
      <w:r>
        <w:t>Inspect the packs before and after unloading.</w:t>
      </w:r>
    </w:p>
    <w:p w:rsidR="00B70B30" w:rsidRDefault="00B70B30" w:rsidP="00B70B30">
      <w:r>
        <w:t>The forwarder is responsible for the safety of the goods during transport and delivery.</w:t>
      </w:r>
    </w:p>
    <w:p w:rsidR="00B70B30" w:rsidRDefault="00B70B30" w:rsidP="00B70B30">
      <w:r>
        <w:t>Notify the forwarder in the event of apparent or hidden damage. Specify any damage or shortages on dispatch note.</w:t>
      </w:r>
    </w:p>
    <w:p w:rsidR="00B70B30" w:rsidRDefault="00B70B30" w:rsidP="00B70B30">
      <w:r>
        <w:t>Keep all documentation contained in the packing.</w:t>
      </w:r>
    </w:p>
    <w:p w:rsidR="00B70B30" w:rsidRDefault="00773D0A" w:rsidP="00B70B30">
      <w:r>
        <w:t xml:space="preserve">PLEASE notify supplier of any damages </w:t>
      </w:r>
    </w:p>
    <w:p w:rsidR="00B70B30" w:rsidRDefault="00B70B30" w:rsidP="00B70B30">
      <w:pPr>
        <w:pStyle w:val="Heading1"/>
      </w:pPr>
      <w:r>
        <w:t>Positioning</w:t>
      </w:r>
    </w:p>
    <w:p w:rsidR="00B70B30" w:rsidRDefault="00B70B30" w:rsidP="00B70B30">
      <w:r>
        <w:t>The installation diagrams give the overall dimensions of the appliances and the positions of connections (gas, electricity and water)</w:t>
      </w:r>
    </w:p>
    <w:p w:rsidR="00B70B30" w:rsidRPr="001038B0" w:rsidRDefault="00B70B30" w:rsidP="00B70B30">
      <w:r w:rsidRPr="001038B0">
        <w:t>Appliances can be installed separately or in combination with other appliances in the same range.</w:t>
      </w:r>
    </w:p>
    <w:p w:rsidR="00B70B30" w:rsidRDefault="00B70B30" w:rsidP="00B70B30">
      <w:r>
        <w:t>Leave at least</w:t>
      </w:r>
      <w:r w:rsidR="001038B0">
        <w:t xml:space="preserve"> </w:t>
      </w:r>
      <w:r w:rsidRPr="001038B0">
        <w:t>1</w:t>
      </w:r>
      <w:r w:rsidR="00E72497" w:rsidRPr="001038B0">
        <w:t>5</w:t>
      </w:r>
      <w:r w:rsidRPr="001038B0">
        <w:t>0mm</w:t>
      </w:r>
      <w:r>
        <w:t xml:space="preserve"> between the appliance and the side or rear walls.</w:t>
      </w:r>
    </w:p>
    <w:p w:rsidR="00B70B30" w:rsidRPr="001038B0" w:rsidRDefault="00B70B30" w:rsidP="00B70B30">
      <w:pPr>
        <w:pStyle w:val="BodyText"/>
        <w:rPr>
          <w:color w:val="auto"/>
        </w:rPr>
      </w:pPr>
      <w:r w:rsidRPr="001038B0">
        <w:rPr>
          <w:color w:val="auto"/>
        </w:rPr>
        <w:t xml:space="preserve">When positioned under a </w:t>
      </w:r>
      <w:r w:rsidR="001038B0" w:rsidRPr="001038B0">
        <w:rPr>
          <w:color w:val="auto"/>
        </w:rPr>
        <w:t>grease filter</w:t>
      </w:r>
      <w:r w:rsidRPr="001038B0">
        <w:rPr>
          <w:color w:val="auto"/>
        </w:rPr>
        <w:t xml:space="preserve">, the appliance must have at least </w:t>
      </w:r>
      <w:r w:rsidR="00C869EE">
        <w:rPr>
          <w:color w:val="auto"/>
        </w:rPr>
        <w:t>10</w:t>
      </w:r>
      <w:r w:rsidR="001038B0" w:rsidRPr="001038B0">
        <w:rPr>
          <w:color w:val="auto"/>
        </w:rPr>
        <w:t>00</w:t>
      </w:r>
      <w:r w:rsidRPr="001038B0">
        <w:rPr>
          <w:color w:val="auto"/>
        </w:rPr>
        <w:t xml:space="preserve"> mm between the top of the appliance and the </w:t>
      </w:r>
      <w:r w:rsidR="00D33257">
        <w:rPr>
          <w:color w:val="auto"/>
        </w:rPr>
        <w:t>grease filter</w:t>
      </w:r>
      <w:r w:rsidRPr="001038B0">
        <w:rPr>
          <w:color w:val="auto"/>
        </w:rPr>
        <w:t xml:space="preserve"> </w:t>
      </w:r>
    </w:p>
    <w:p w:rsidR="00B70B30" w:rsidRDefault="00B70B30" w:rsidP="00B70B30">
      <w:r>
        <w:t>Maintain an adequate distance between the appliance and any combustible walls.</w:t>
      </w:r>
    </w:p>
    <w:p w:rsidR="00B70B30" w:rsidRDefault="00B70B30" w:rsidP="00B70B30">
      <w:r>
        <w:t>Leave an adequate distance between the appliance and any side walls in order to allow subsequent servicing or maintenance operations.</w:t>
      </w:r>
    </w:p>
    <w:p w:rsidR="00B70B30" w:rsidRDefault="00B70B30" w:rsidP="00B70B30">
      <w:r>
        <w:t>Suitably insulate any surfaces that are less than the specified distances from the appliance.</w:t>
      </w:r>
    </w:p>
    <w:p w:rsidR="00D33257" w:rsidRDefault="00D33257" w:rsidP="00B70B30">
      <w:pPr>
        <w:pStyle w:val="Heading2"/>
      </w:pPr>
    </w:p>
    <w:p w:rsidR="00B70B30" w:rsidRDefault="00BB50D1" w:rsidP="00B70B30">
      <w:pPr>
        <w:pStyle w:val="Heading2"/>
      </w:pPr>
      <w:r>
        <w:t xml:space="preserve">Securing To the </w:t>
      </w:r>
      <w:r w:rsidR="00B70B30">
        <w:t>Floor</w:t>
      </w:r>
      <w:r w:rsidR="000E0C5A">
        <w:t xml:space="preserve"> or Bench</w:t>
      </w:r>
    </w:p>
    <w:p w:rsidR="00B70B30" w:rsidRDefault="00B70B30" w:rsidP="00B70B30">
      <w:r>
        <w:t xml:space="preserve">To avoid accidental tipping of certain modules, fix them to the floor or bench surface. </w:t>
      </w:r>
      <w:r w:rsidR="000E0C5A">
        <w:t xml:space="preserve"> This must be done in situations where hose assemblies are used for gas connection.</w:t>
      </w:r>
    </w:p>
    <w:p w:rsidR="000E0C5A" w:rsidRDefault="000E0C5A" w:rsidP="00B70B30">
      <w:pPr>
        <w:pStyle w:val="Heading1"/>
      </w:pPr>
    </w:p>
    <w:p w:rsidR="00B70B30" w:rsidRDefault="00B70B30" w:rsidP="00B70B30">
      <w:pPr>
        <w:pStyle w:val="Heading1"/>
      </w:pPr>
      <w:r>
        <w:t>Exhaust</w:t>
      </w:r>
    </w:p>
    <w:p w:rsidR="00B70B30" w:rsidRDefault="00B70B30" w:rsidP="00B70B30"/>
    <w:p w:rsidR="00B70B30" w:rsidRDefault="00B70B30" w:rsidP="00B70B30">
      <w:r>
        <w:t xml:space="preserve">The appliance </w:t>
      </w:r>
      <w:r w:rsidR="00150EAA">
        <w:t>must be installed under a venti</w:t>
      </w:r>
      <w:r>
        <w:t>lation exhaust system complying with the local building regulations and AS</w:t>
      </w:r>
      <w:r w:rsidR="00150EAA">
        <w:t xml:space="preserve">/NZS </w:t>
      </w:r>
      <w:r>
        <w:t>5601</w:t>
      </w:r>
      <w:r w:rsidR="00150EAA">
        <w:t>.1</w:t>
      </w:r>
      <w:r>
        <w:t xml:space="preserve"> – Gas Installation code.</w:t>
      </w:r>
    </w:p>
    <w:p w:rsidR="00B70B30" w:rsidRDefault="00B70B30" w:rsidP="00B70B30">
      <w:r>
        <w:t>Place the appliance under the extractor hood to ensure removal of fumes and steam produced by cooking.</w:t>
      </w:r>
    </w:p>
    <w:p w:rsidR="00B70B30" w:rsidRPr="00D33257" w:rsidRDefault="00B70B30" w:rsidP="00B70B30">
      <w:r w:rsidRPr="00D33257">
        <w:t xml:space="preserve">The correct clearance between the appliance outlet and the </w:t>
      </w:r>
      <w:r w:rsidR="00150EAA">
        <w:t>grease filter</w:t>
      </w:r>
      <w:r w:rsidRPr="00D33257">
        <w:t xml:space="preserve"> must comply with the current standards and be not less than</w:t>
      </w:r>
      <w:r w:rsidR="00150EAA">
        <w:t xml:space="preserve"> </w:t>
      </w:r>
      <w:r w:rsidR="00D33257" w:rsidRPr="00D33257">
        <w:t>600</w:t>
      </w:r>
      <w:r w:rsidRPr="00D33257">
        <w:t xml:space="preserve"> </w:t>
      </w:r>
      <w:r w:rsidR="00BB50D1">
        <w:t>mm</w:t>
      </w:r>
      <w:r w:rsidRPr="00D33257">
        <w:t>.</w:t>
      </w:r>
    </w:p>
    <w:p w:rsidR="00B70B30" w:rsidRDefault="00B70B30" w:rsidP="00B70B30"/>
    <w:p w:rsidR="00B70B30" w:rsidRDefault="00B70B30" w:rsidP="00B70B30">
      <w:r>
        <w:t xml:space="preserve">Where there is no exhaust hood, contact local authority for information and guidance on installation. </w:t>
      </w:r>
    </w:p>
    <w:p w:rsidR="00B70B30" w:rsidRDefault="00B70B30" w:rsidP="00B70B30"/>
    <w:p w:rsidR="00B70B30" w:rsidRDefault="00B70B30" w:rsidP="00B70B30">
      <w:pPr>
        <w:pStyle w:val="Heading1"/>
      </w:pPr>
      <w:r>
        <w:t>Connections</w:t>
      </w:r>
    </w:p>
    <w:p w:rsidR="00B70B30" w:rsidRDefault="00B70B30" w:rsidP="00B70B30">
      <w:r>
        <w:t>Refer to appliance data plate for information relating to gas consumption, pressures etc.</w:t>
      </w:r>
    </w:p>
    <w:p w:rsidR="00B70B30" w:rsidRDefault="00773D0A" w:rsidP="0070565A">
      <w:r>
        <w:t xml:space="preserve">20mm </w:t>
      </w:r>
      <w:r w:rsidR="00BB50D1" w:rsidRPr="00BB50D1">
        <w:t xml:space="preserve"> BSP located at rear 150mm from top</w:t>
      </w:r>
      <w:r w:rsidR="0070565A">
        <w:t>,</w:t>
      </w:r>
      <w:r w:rsidR="00BB50D1" w:rsidRPr="00BB50D1">
        <w:t xml:space="preserve"> 50mm in from side</w:t>
      </w:r>
      <w:r w:rsidR="0070565A">
        <w:t>,</w:t>
      </w:r>
      <w:r w:rsidR="0070565A" w:rsidRPr="0070565A">
        <w:t xml:space="preserve"> </w:t>
      </w:r>
      <w:r w:rsidR="0070565A" w:rsidRPr="00BB50D1">
        <w:t>or optional under appliance connection</w:t>
      </w:r>
      <w:r w:rsidR="00B70B30">
        <w:t>.</w:t>
      </w:r>
      <w:r w:rsidR="000E0C5A">
        <w:t xml:space="preserve"> Check the appliance connections to ensure the unused inlet is capped off and gas tight.</w:t>
      </w:r>
    </w:p>
    <w:p w:rsidR="00B70B30" w:rsidRDefault="00B70B30" w:rsidP="00B70B30"/>
    <w:p w:rsidR="00B70B30" w:rsidRPr="001038B0" w:rsidRDefault="00B70B30" w:rsidP="00B70B30">
      <w:pPr>
        <w:pStyle w:val="BodyText"/>
        <w:rPr>
          <w:b/>
          <w:i/>
          <w:color w:val="auto"/>
        </w:rPr>
      </w:pPr>
      <w:r w:rsidRPr="001038B0">
        <w:rPr>
          <w:b/>
          <w:i/>
          <w:color w:val="auto"/>
        </w:rPr>
        <w:t>An appliance gas pressure regulator must b</w:t>
      </w:r>
      <w:r w:rsidR="00773D0A">
        <w:rPr>
          <w:b/>
          <w:i/>
          <w:color w:val="auto"/>
        </w:rPr>
        <w:t>e fitted for Natural gas and UL</w:t>
      </w:r>
      <w:r w:rsidR="00ED01AC">
        <w:rPr>
          <w:b/>
          <w:i/>
          <w:color w:val="auto"/>
        </w:rPr>
        <w:t>PG</w:t>
      </w:r>
      <w:r w:rsidRPr="001038B0">
        <w:rPr>
          <w:b/>
          <w:i/>
          <w:color w:val="auto"/>
        </w:rPr>
        <w:t xml:space="preserve"> appliances. Refer AS4563 – Commercial Gas Catering Equipment (implementation Jan 2005)</w:t>
      </w:r>
    </w:p>
    <w:p w:rsidR="00B70B30" w:rsidRDefault="00B70B30" w:rsidP="00B70B30"/>
    <w:p w:rsidR="00B70B30" w:rsidRDefault="00B70B30" w:rsidP="00B70B30">
      <w:r>
        <w:t>Fit an appliance isolating valve before the inlet. This must be a ¼ turn type,</w:t>
      </w:r>
      <w:r w:rsidR="00773D0A">
        <w:t xml:space="preserve"> and </w:t>
      </w:r>
      <w:r>
        <w:t xml:space="preserve"> be</w:t>
      </w:r>
      <w:r w:rsidR="00773D0A">
        <w:t xml:space="preserve"> AGA </w:t>
      </w:r>
      <w:r>
        <w:t xml:space="preserve"> approved and be in an accessible location when the appliance is installed and working.</w:t>
      </w:r>
    </w:p>
    <w:p w:rsidR="00B70B30" w:rsidRDefault="00B70B30" w:rsidP="00B70B30"/>
    <w:p w:rsidR="000E0C5A" w:rsidRDefault="000E0C5A" w:rsidP="00B70B30">
      <w:r>
        <w:t>Test point for checking gas pressures is located on the manifold behind the front cover. Remove knobs, and screws to access test point. Ensure test point is resealed and leak tested after use.</w:t>
      </w:r>
    </w:p>
    <w:p w:rsidR="00B70B30" w:rsidRDefault="00B70B30" w:rsidP="00B70B30">
      <w:pPr>
        <w:pStyle w:val="Heading2"/>
      </w:pPr>
      <w:r>
        <w:t>Important!</w:t>
      </w:r>
    </w:p>
    <w:p w:rsidR="00B70B30" w:rsidRDefault="00B70B30" w:rsidP="00B70B30">
      <w:r>
        <w:t>For all gas appliances, the regulator supplied with the appliance must be fitted between the gas valve and the appliance inlet.</w:t>
      </w:r>
    </w:p>
    <w:p w:rsidR="00B70B30" w:rsidRDefault="00B70B30" w:rsidP="00B70B30">
      <w:r>
        <w:t>Clean the pipes to remove any dust, dirt or foreign matter which could block the supply.</w:t>
      </w:r>
    </w:p>
    <w:p w:rsidR="00B70B30" w:rsidRDefault="00B70B30" w:rsidP="00B70B30">
      <w:r>
        <w:t>Do not use pipes of a diameter smaller than that for which the appliance is designed.</w:t>
      </w:r>
      <w:r w:rsidR="000E0C5A">
        <w:t xml:space="preserve"> Refer AS</w:t>
      </w:r>
      <w:r w:rsidR="00BB50D1">
        <w:t xml:space="preserve">/NZS </w:t>
      </w:r>
      <w:r w:rsidR="000E0C5A">
        <w:t>5601</w:t>
      </w:r>
      <w:r w:rsidR="00BB50D1">
        <w:t>.1</w:t>
      </w:r>
      <w:r w:rsidR="000E0C5A">
        <w:t xml:space="preserve"> Gas Installations for Pipe sizing tables.</w:t>
      </w:r>
    </w:p>
    <w:p w:rsidR="00B70B30" w:rsidRDefault="00B70B30" w:rsidP="00B70B30">
      <w:r>
        <w:t xml:space="preserve">After installation the </w:t>
      </w:r>
      <w:r w:rsidR="000E0C5A">
        <w:t>pipework</w:t>
      </w:r>
      <w:r>
        <w:t xml:space="preserve"> should be checked for gas leaks in accordance with standard operations. Use soapy water to check connections for leaks.</w:t>
      </w:r>
    </w:p>
    <w:p w:rsidR="00B70B30" w:rsidRDefault="00B70B30" w:rsidP="00B70B30">
      <w:r>
        <w:t>Make certain the appliance is arranged for the type of gas to be used. Otherwise the appliance will have to be converted to the applicable gas type. If not certain contact local gas supplier for confirmation of gas type. Any conversion to be carried out must be undertaken by an authorised person in accordance with the supplied instructions.</w:t>
      </w:r>
    </w:p>
    <w:p w:rsidR="00B70B30" w:rsidRDefault="00B70B30" w:rsidP="00B70B30"/>
    <w:p w:rsidR="00B70B30" w:rsidRDefault="00B70B30" w:rsidP="00B70B30">
      <w:r>
        <w:t>Use of Flexible Hoses: Where it is intended to connect the appliance to the gas supply using a flexible, it is important to use the correct type assembly for the application. Refer to AS5601 for hose connection requirements. The hose assembly must comply with AS/NZS1869 – Class B and be kept as short as possible. A chain must be fitted to restrict the appliance movement to no more than 80% of the hose length.</w:t>
      </w:r>
      <w:r w:rsidR="000E0C5A">
        <w:t xml:space="preserve"> Ensure hose is adequate for appliance gas consumption.</w:t>
      </w:r>
    </w:p>
    <w:p w:rsidR="00B70B30" w:rsidRDefault="00B70B30" w:rsidP="00B70B30"/>
    <w:p w:rsidR="00B70B30" w:rsidRDefault="00B70B30" w:rsidP="00B70B30">
      <w:pPr>
        <w:pStyle w:val="Heading1"/>
      </w:pPr>
      <w:r>
        <w:t>Supply Pressure Check</w:t>
      </w:r>
    </w:p>
    <w:p w:rsidR="00B70B30" w:rsidRDefault="00B70B30" w:rsidP="00B70B30">
      <w:r>
        <w:t>Make sure the appliance is suitable for the type of gas available, according to that given on the data plate.</w:t>
      </w:r>
    </w:p>
    <w:p w:rsidR="00B70B30" w:rsidRDefault="00B70B30" w:rsidP="00B70B30">
      <w:r>
        <w:t>The supply pressure must be measured with the appliance operating, using a manometer (min 0.1kPa)</w:t>
      </w:r>
    </w:p>
    <w:p w:rsidR="00B70B30" w:rsidRDefault="00B70B30" w:rsidP="00B70B30">
      <w:r>
        <w:t>Ensure gas is turned off.</w:t>
      </w:r>
    </w:p>
    <w:p w:rsidR="00B70B30" w:rsidRDefault="00B70B30" w:rsidP="00B70B30">
      <w:r>
        <w:t>Remove control panel.</w:t>
      </w:r>
    </w:p>
    <w:p w:rsidR="00B70B30" w:rsidRDefault="00B70B30" w:rsidP="00B70B30">
      <w:r>
        <w:t>Remove test point screw from the pressure test point and connect the manometer.</w:t>
      </w:r>
    </w:p>
    <w:p w:rsidR="00B70B30" w:rsidRDefault="00B70B30" w:rsidP="00B70B30">
      <w:r>
        <w:t>Turn the gas on slowly, light the applicable burners and compare the value read on the manometer with that given on the data plate.</w:t>
      </w:r>
    </w:p>
    <w:p w:rsidR="00B70B30" w:rsidRDefault="00B70B30" w:rsidP="00B70B30">
      <w:r>
        <w:t>If the manometer gives a pressure outside the range adjust the gas regulator supplying the appliance. If the pressure cannot be adjusted to the correct value check the installation to determine problem.</w:t>
      </w:r>
    </w:p>
    <w:p w:rsidR="00B70B30" w:rsidRDefault="00B70B30" w:rsidP="00B70B30"/>
    <w:p w:rsidR="00B70B30" w:rsidRDefault="00B70B30" w:rsidP="00B70B30">
      <w:pPr>
        <w:pStyle w:val="Heading1"/>
      </w:pPr>
      <w:r>
        <w:t>Gas Pressure Regulator</w:t>
      </w:r>
    </w:p>
    <w:p w:rsidR="00B70B30" w:rsidRDefault="00B70B30" w:rsidP="00B70B30">
      <w:r>
        <w:t>The section of the gas supply line must be sufficient to ensure the gas flow necessary for full operation of all of the appliances connected to the piping.</w:t>
      </w:r>
    </w:p>
    <w:p w:rsidR="00B70B30" w:rsidRDefault="00B70B30" w:rsidP="00B70B30">
      <w:r>
        <w:t>The gas pressure regulator will ensure constant outlet pressure over varying inlet pressures.</w:t>
      </w:r>
    </w:p>
    <w:p w:rsidR="00B70B30" w:rsidRDefault="00B70B30" w:rsidP="00B70B30">
      <w:r>
        <w:t>When the regulator is fitted, it must be adjusted to the correct pressure when the burners are operating.</w:t>
      </w:r>
    </w:p>
    <w:p w:rsidR="00B70B30" w:rsidRDefault="00B70B30" w:rsidP="00B70B30">
      <w:r>
        <w:t>Test point pressures are:</w:t>
      </w:r>
      <w:r>
        <w:tab/>
        <w:t>1.0kPa for Natural Gas</w:t>
      </w:r>
    </w:p>
    <w:p w:rsidR="00B70B30" w:rsidRDefault="00B70B30" w:rsidP="00B70B30">
      <w:r>
        <w:tab/>
      </w:r>
      <w:r>
        <w:tab/>
      </w:r>
      <w:r>
        <w:tab/>
      </w:r>
      <w:r>
        <w:tab/>
        <w:t>2.</w:t>
      </w:r>
      <w:r w:rsidR="000E0C5A">
        <w:t>6</w:t>
      </w:r>
      <w:r w:rsidR="00773D0A">
        <w:t>5kPa for  UL</w:t>
      </w:r>
      <w:r w:rsidR="00ED01AC">
        <w:t>P</w:t>
      </w:r>
      <w:r w:rsidR="00773D0A">
        <w:t xml:space="preserve"> GAS </w:t>
      </w:r>
    </w:p>
    <w:p w:rsidR="00B70B30" w:rsidRDefault="00B70B30" w:rsidP="00B70B30"/>
    <w:p w:rsidR="00B70B30" w:rsidRDefault="00B70B30" w:rsidP="00B70B30">
      <w:pPr>
        <w:pStyle w:val="Heading1"/>
      </w:pPr>
      <w:r>
        <w:t>Adjusting the Air for the Burners</w:t>
      </w:r>
    </w:p>
    <w:p w:rsidR="00B70B30" w:rsidRDefault="00B70B30" w:rsidP="00B70B30">
      <w:r>
        <w:t xml:space="preserve">When the primary air is correctly adjusted, the flame does not detach with the burner </w:t>
      </w:r>
      <w:r w:rsidR="000E0C5A">
        <w:t xml:space="preserve">when </w:t>
      </w:r>
      <w:r>
        <w:t>cold and there is no flashback with burner hot.</w:t>
      </w:r>
      <w:r w:rsidR="000E0C5A">
        <w:t xml:space="preserve"> Burners can be adjusted accordingly.</w:t>
      </w:r>
    </w:p>
    <w:p w:rsidR="00B70B30" w:rsidRDefault="00B70B30" w:rsidP="00B70B30"/>
    <w:p w:rsidR="009A1214" w:rsidRPr="009A1214" w:rsidRDefault="009A1214" w:rsidP="00B70B30">
      <w:pPr>
        <w:rPr>
          <w:b/>
          <w:sz w:val="28"/>
          <w:szCs w:val="28"/>
        </w:rPr>
      </w:pPr>
      <w:r>
        <w:rPr>
          <w:b/>
          <w:sz w:val="28"/>
          <w:szCs w:val="28"/>
        </w:rPr>
        <w:t>At the completion of the installation, test the appliance for correct operation.</w:t>
      </w:r>
    </w:p>
    <w:p w:rsidR="009A1214" w:rsidRDefault="009A1214" w:rsidP="00B70B30"/>
    <w:p w:rsidR="00C869EE" w:rsidRDefault="00C869EE" w:rsidP="00C869EE">
      <w:pPr>
        <w:rPr>
          <w:b/>
          <w:sz w:val="32"/>
          <w:szCs w:val="32"/>
        </w:rPr>
      </w:pPr>
      <w:r>
        <w:rPr>
          <w:b/>
          <w:sz w:val="32"/>
          <w:szCs w:val="32"/>
        </w:rPr>
        <w:t>Advice on Service</w:t>
      </w:r>
    </w:p>
    <w:p w:rsidR="00C869EE" w:rsidRDefault="00C869EE" w:rsidP="00C869EE">
      <w:r>
        <w:t>At the completion of the installation, start the appliance and check operation – Refer ‘operating instructions’. If the appliance does not operate correctly, check the following:-</w:t>
      </w:r>
    </w:p>
    <w:p w:rsidR="00C869EE" w:rsidRDefault="00C869EE" w:rsidP="00C869EE">
      <w:pPr>
        <w:numPr>
          <w:ilvl w:val="0"/>
          <w:numId w:val="3"/>
        </w:numPr>
      </w:pPr>
      <w:r>
        <w:t>Appliance has been installed correctly to the correct gas type;</w:t>
      </w:r>
    </w:p>
    <w:p w:rsidR="00C869EE" w:rsidRDefault="00C869EE" w:rsidP="00C869EE">
      <w:pPr>
        <w:numPr>
          <w:ilvl w:val="0"/>
          <w:numId w:val="3"/>
        </w:numPr>
      </w:pPr>
      <w:r>
        <w:t>Gas regulator has been installed and the pressure set to the correct pressure;</w:t>
      </w:r>
    </w:p>
    <w:p w:rsidR="00C869EE" w:rsidRDefault="00C869EE" w:rsidP="00C869EE">
      <w:pPr>
        <w:numPr>
          <w:ilvl w:val="0"/>
          <w:numId w:val="3"/>
        </w:numPr>
      </w:pPr>
      <w:r>
        <w:t>Burner has been adjusted to correct flame type.</w:t>
      </w:r>
    </w:p>
    <w:p w:rsidR="00C869EE" w:rsidRDefault="00C869EE" w:rsidP="00C869EE">
      <w:pPr>
        <w:numPr>
          <w:ilvl w:val="0"/>
          <w:numId w:val="3"/>
        </w:numPr>
      </w:pPr>
      <w:r>
        <w:t>Ignition set correctly and battery fitted to ignition module.</w:t>
      </w:r>
    </w:p>
    <w:p w:rsidR="00C869EE" w:rsidRDefault="00C869EE" w:rsidP="00C869EE">
      <w:pPr>
        <w:numPr>
          <w:ilvl w:val="0"/>
          <w:numId w:val="3"/>
        </w:numPr>
      </w:pPr>
      <w:r>
        <w:t>Safety device (thermocouple) is being sufficiently heated during burner start up.</w:t>
      </w:r>
    </w:p>
    <w:p w:rsidR="00C869EE" w:rsidRDefault="00C869EE" w:rsidP="00C869EE">
      <w:pPr>
        <w:ind w:left="360"/>
      </w:pPr>
      <w:r>
        <w:t>If after checking the above items, the appliance does not operate correctly, contact FED for advice and nearest service agent.</w:t>
      </w:r>
    </w:p>
    <w:p w:rsidR="00C869EE" w:rsidRPr="002D1CBF" w:rsidRDefault="00C869EE" w:rsidP="00C869EE">
      <w:pPr>
        <w:ind w:left="720"/>
      </w:pPr>
    </w:p>
    <w:p w:rsidR="00C869EE" w:rsidRDefault="00C869EE" w:rsidP="00C869EE">
      <w:r>
        <w:t>If you smell gas, immediately turn off the gas supply at the burner control valve. If smell still persists, turn appliance isolation valve off and call FED for advice. If smell is still evident, leak is probably on piping, therefore contact plumber and gasfitter for advice.</w:t>
      </w:r>
    </w:p>
    <w:p w:rsidR="00C869EE" w:rsidRDefault="00C869EE" w:rsidP="00C869EE">
      <w:r>
        <w:t>Where the burner flames begin to burn yellow, the appliance requires cleaning. Remove and clean burners, then thoroughly dry before restarting burners.</w:t>
      </w:r>
    </w:p>
    <w:p w:rsidR="00B70B30" w:rsidRDefault="00B70B30" w:rsidP="00B70B30"/>
    <w:p w:rsidR="00B70B30" w:rsidRDefault="00B70B30"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613DA1" w:rsidRDefault="00613DA1" w:rsidP="00B70B30"/>
    <w:p w:rsidR="009321A5" w:rsidRDefault="009321A5" w:rsidP="009321A5">
      <w:pPr>
        <w:jc w:val="center"/>
        <w:rPr>
          <w:b/>
          <w:sz w:val="32"/>
          <w:szCs w:val="32"/>
        </w:rPr>
      </w:pPr>
      <w:r>
        <w:rPr>
          <w:b/>
          <w:sz w:val="32"/>
          <w:szCs w:val="32"/>
        </w:rPr>
        <w:t>APPLIANCE OPERATION</w:t>
      </w:r>
    </w:p>
    <w:p w:rsidR="009321A5" w:rsidRDefault="009321A5" w:rsidP="009321A5">
      <w:pPr>
        <w:jc w:val="center"/>
        <w:rPr>
          <w:b/>
          <w:sz w:val="32"/>
          <w:szCs w:val="32"/>
        </w:rPr>
      </w:pPr>
    </w:p>
    <w:p w:rsidR="009321A5" w:rsidRDefault="00483D9B" w:rsidP="00483D9B">
      <w:pPr>
        <w:rPr>
          <w:b/>
          <w:sz w:val="32"/>
          <w:szCs w:val="32"/>
        </w:rPr>
      </w:pPr>
      <w:r>
        <w:rPr>
          <w:b/>
          <w:sz w:val="32"/>
          <w:szCs w:val="32"/>
        </w:rPr>
        <w:t>The operation of this applian</w:t>
      </w:r>
      <w:r w:rsidR="0094633A">
        <w:rPr>
          <w:b/>
          <w:sz w:val="32"/>
          <w:szCs w:val="32"/>
        </w:rPr>
        <w:t xml:space="preserve">ce must only be carried out by </w:t>
      </w:r>
      <w:r>
        <w:rPr>
          <w:b/>
          <w:sz w:val="32"/>
          <w:szCs w:val="32"/>
        </w:rPr>
        <w:t>trained and competent personnel!</w:t>
      </w:r>
    </w:p>
    <w:p w:rsidR="00483D9B" w:rsidRDefault="00483D9B" w:rsidP="00483D9B">
      <w:pPr>
        <w:rPr>
          <w:b/>
        </w:rPr>
      </w:pPr>
    </w:p>
    <w:p w:rsidR="00C869EE" w:rsidRPr="00287EC0" w:rsidRDefault="00C869EE" w:rsidP="00C869EE">
      <w:pPr>
        <w:rPr>
          <w:b/>
          <w:sz w:val="28"/>
          <w:szCs w:val="28"/>
        </w:rPr>
      </w:pPr>
      <w:r w:rsidRPr="00287EC0">
        <w:rPr>
          <w:b/>
          <w:sz w:val="28"/>
          <w:szCs w:val="28"/>
        </w:rPr>
        <w:t>Preparing the appliance for use:</w:t>
      </w:r>
    </w:p>
    <w:p w:rsidR="00C869EE" w:rsidRDefault="00C869EE" w:rsidP="00C869EE">
      <w:r>
        <w:t>Before cooking food for the first time, we recommend cleaning the appliance thoroughly. Remove all packaging and adhesive films from the appliance very carefully and wash appliance with warm soapy water or similar cleaning agent.</w:t>
      </w:r>
    </w:p>
    <w:p w:rsidR="00C869EE" w:rsidRDefault="00C869EE" w:rsidP="00C869EE"/>
    <w:p w:rsidR="00C869EE" w:rsidRPr="00287EC0" w:rsidRDefault="00C869EE" w:rsidP="00C869EE">
      <w:pPr>
        <w:rPr>
          <w:b/>
          <w:sz w:val="28"/>
          <w:szCs w:val="28"/>
        </w:rPr>
      </w:pPr>
      <w:r w:rsidRPr="00287EC0">
        <w:rPr>
          <w:b/>
          <w:sz w:val="28"/>
          <w:szCs w:val="28"/>
        </w:rPr>
        <w:t>Appliance Functions</w:t>
      </w:r>
    </w:p>
    <w:p w:rsidR="00C869EE" w:rsidRPr="002D1CBF" w:rsidRDefault="00C869EE" w:rsidP="00C869EE">
      <w:pPr>
        <w:rPr>
          <w:sz w:val="28"/>
          <w:szCs w:val="28"/>
        </w:rPr>
      </w:pPr>
    </w:p>
    <w:p w:rsidR="00C869EE" w:rsidRDefault="00C869EE" w:rsidP="00C869EE">
      <w:pPr>
        <w:tabs>
          <w:tab w:val="center" w:pos="709"/>
          <w:tab w:val="left" w:pos="1276"/>
        </w:tabs>
        <w:jc w:val="both"/>
        <w:rPr>
          <w:rFonts w:ascii="Arial Narrow" w:hAnsi="Arial Narrow"/>
          <w:b/>
          <w:lang w:val="en-GB"/>
        </w:rPr>
      </w:pPr>
      <w:r>
        <w:rPr>
          <w:rFonts w:ascii="Wingdings" w:hAnsi="Wingdings"/>
          <w:b/>
        </w:rPr>
        <w:tab/>
      </w:r>
      <w:r>
        <w:rPr>
          <w:rFonts w:ascii="Wingdings" w:hAnsi="Wingdings"/>
          <w:b/>
        </w:rPr>
        <w:t></w:t>
      </w:r>
      <w:r>
        <w:rPr>
          <w:rFonts w:ascii="Arial Narrow" w:hAnsi="Arial Narrow"/>
          <w:b/>
          <w:lang w:val="en-GB"/>
        </w:rPr>
        <w:tab/>
        <w:t>Off</w:t>
      </w:r>
    </w:p>
    <w:p w:rsidR="00C869EE" w:rsidRDefault="00C869EE" w:rsidP="00C869EE">
      <w:pPr>
        <w:tabs>
          <w:tab w:val="center" w:pos="709"/>
          <w:tab w:val="left" w:pos="1276"/>
        </w:tabs>
        <w:jc w:val="both"/>
        <w:rPr>
          <w:rFonts w:ascii="Arial Narrow" w:hAnsi="Arial Narrow"/>
          <w:b/>
          <w:lang w:val="en-GB"/>
        </w:rPr>
      </w:pPr>
    </w:p>
    <w:p w:rsidR="00C869EE" w:rsidRDefault="00C869EE" w:rsidP="00C869EE">
      <w:pPr>
        <w:tabs>
          <w:tab w:val="center" w:pos="709"/>
          <w:tab w:val="left" w:pos="1276"/>
        </w:tabs>
        <w:jc w:val="both"/>
        <w:rPr>
          <w:rFonts w:ascii="Arial Narrow" w:hAnsi="Arial Narrow"/>
          <w:b/>
          <w:lang w:val="en-GB"/>
        </w:rPr>
      </w:pPr>
      <w:r>
        <w:rPr>
          <w:rFonts w:ascii="Arial Narrow" w:hAnsi="Arial Narrow"/>
          <w:b/>
          <w:lang w:val="en-GB"/>
        </w:rPr>
        <w:tab/>
      </w:r>
      <w:r>
        <w:rPr>
          <w:rFonts w:ascii="Arial Narrow" w:hAnsi="Arial Narrow"/>
          <w:b/>
        </w:rPr>
        <w:object w:dxaOrig="891" w:dyaOrig="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26.4pt" o:ole="" fillcolor="window">
            <v:imagedata r:id="rId7" o:title=""/>
          </v:shape>
          <o:OLEObject Type="Embed" ProgID="Unknown" ShapeID="_x0000_i1025" DrawAspect="Content" ObjectID="_1727086402" r:id="rId8"/>
        </w:object>
      </w:r>
      <w:r>
        <w:rPr>
          <w:rFonts w:ascii="Arial Narrow" w:hAnsi="Arial Narrow"/>
          <w:b/>
          <w:lang w:val="en-GB"/>
        </w:rPr>
        <w:tab/>
        <w:t>Maximum fire</w:t>
      </w:r>
    </w:p>
    <w:p w:rsidR="00C869EE" w:rsidRDefault="00C869EE" w:rsidP="00C869EE">
      <w:pPr>
        <w:tabs>
          <w:tab w:val="center" w:pos="709"/>
          <w:tab w:val="left" w:pos="1276"/>
        </w:tabs>
        <w:jc w:val="both"/>
        <w:rPr>
          <w:rFonts w:ascii="Arial Narrow" w:hAnsi="Arial Narrow"/>
          <w:b/>
          <w:lang w:val="en-GB"/>
        </w:rPr>
      </w:pPr>
    </w:p>
    <w:p w:rsidR="00C869EE" w:rsidRDefault="00C869EE" w:rsidP="00C869EE">
      <w:pPr>
        <w:tabs>
          <w:tab w:val="center" w:pos="709"/>
          <w:tab w:val="left" w:pos="1276"/>
        </w:tabs>
        <w:jc w:val="both"/>
        <w:rPr>
          <w:rFonts w:ascii="Arial Narrow" w:hAnsi="Arial Narrow"/>
          <w:lang w:val="en-GB"/>
        </w:rPr>
      </w:pPr>
      <w:r>
        <w:rPr>
          <w:rFonts w:ascii="Arial Narrow" w:hAnsi="Arial Narrow"/>
          <w:b/>
          <w:lang w:val="en-GB"/>
        </w:rPr>
        <w:tab/>
      </w:r>
      <w:r>
        <w:rPr>
          <w:rFonts w:ascii="Arial Narrow" w:hAnsi="Arial Narrow"/>
          <w:b/>
        </w:rPr>
        <w:object w:dxaOrig="891" w:dyaOrig="891">
          <v:shape id="_x0000_i1026" type="#_x0000_t75" style="width:17.4pt;height:17.4pt" o:ole="" fillcolor="window">
            <v:imagedata r:id="rId7" o:title=""/>
          </v:shape>
          <o:OLEObject Type="Embed" ProgID="Unknown" ShapeID="_x0000_i1026" DrawAspect="Content" ObjectID="_1727086403" r:id="rId9"/>
        </w:object>
      </w:r>
      <w:r>
        <w:rPr>
          <w:rFonts w:ascii="Arial Narrow" w:hAnsi="Arial Narrow"/>
          <w:b/>
          <w:lang w:val="en-GB"/>
        </w:rPr>
        <w:tab/>
        <w:t>Minimum fire</w:t>
      </w:r>
    </w:p>
    <w:p w:rsidR="00C869EE" w:rsidRDefault="00C869EE" w:rsidP="00C869EE"/>
    <w:p w:rsidR="00C869EE" w:rsidRDefault="00C869EE" w:rsidP="00C869EE"/>
    <w:p w:rsidR="00C869EE" w:rsidRPr="002D1CBF" w:rsidRDefault="00C869EE" w:rsidP="00C869EE">
      <w:pPr>
        <w:rPr>
          <w:b/>
          <w:sz w:val="28"/>
          <w:szCs w:val="28"/>
        </w:rPr>
      </w:pPr>
      <w:r w:rsidRPr="002D1CBF">
        <w:rPr>
          <w:b/>
          <w:sz w:val="28"/>
          <w:szCs w:val="28"/>
        </w:rPr>
        <w:t>Using the appliance:</w:t>
      </w:r>
    </w:p>
    <w:p w:rsidR="00C869EE" w:rsidRPr="00BE0085" w:rsidRDefault="00C869EE" w:rsidP="00C869EE">
      <w:pPr>
        <w:numPr>
          <w:ilvl w:val="0"/>
          <w:numId w:val="4"/>
        </w:numPr>
      </w:pPr>
      <w:r w:rsidRPr="00BE0085">
        <w:t>The burners are ignited by the electronic ignition fitted to the front panel of the appliance or by using a match or similar ignition method.</w:t>
      </w:r>
      <w:r>
        <w:t xml:space="preserve"> Ensure ignition is operated at the same time as the valve is operated. If the gas does not ignite immediately, turn valve off before </w:t>
      </w:r>
      <w:r w:rsidR="0094633A">
        <w:t>build-up</w:t>
      </w:r>
      <w:r>
        <w:t xml:space="preserve"> of gas becomes hazardous. Do not place any part </w:t>
      </w:r>
      <w:r w:rsidR="0094633A">
        <w:t>of the</w:t>
      </w:r>
      <w:r>
        <w:t xml:space="preserve"> body close to the burner, or have loose clothing near burner area.</w:t>
      </w:r>
    </w:p>
    <w:p w:rsidR="00C869EE" w:rsidRPr="003B6B58" w:rsidRDefault="00C869EE" w:rsidP="00C869EE">
      <w:pPr>
        <w:numPr>
          <w:ilvl w:val="0"/>
          <w:numId w:val="4"/>
        </w:numPr>
      </w:pPr>
      <w:r w:rsidRPr="003B6B58">
        <w:t xml:space="preserve">To light the </w:t>
      </w:r>
      <w:r>
        <w:t>burner</w:t>
      </w:r>
      <w:r w:rsidRPr="003B6B58">
        <w:t>, press the knob in and turn it anti-clockwise to the</w:t>
      </w:r>
      <w:r>
        <w:t xml:space="preserve"> </w:t>
      </w:r>
      <w:r>
        <w:rPr>
          <w:rFonts w:ascii="Arial Narrow" w:hAnsi="Arial Narrow"/>
          <w:b/>
        </w:rPr>
        <w:object w:dxaOrig="891" w:dyaOrig="891">
          <v:shape id="_x0000_i1027" type="#_x0000_t75" style="width:26.4pt;height:26.4pt" o:ole="" fillcolor="window">
            <v:imagedata r:id="rId7" o:title=""/>
          </v:shape>
          <o:OLEObject Type="Embed" ProgID="Unknown" ShapeID="_x0000_i1027" DrawAspect="Content" ObjectID="_1727086404" r:id="rId10"/>
        </w:object>
      </w:r>
      <w:r w:rsidRPr="003B6B58">
        <w:t xml:space="preserve"> position. </w:t>
      </w:r>
    </w:p>
    <w:p w:rsidR="00C869EE" w:rsidRDefault="00C869EE" w:rsidP="00C869EE">
      <w:pPr>
        <w:numPr>
          <w:ilvl w:val="0"/>
          <w:numId w:val="4"/>
        </w:numPr>
      </w:pPr>
      <w:r>
        <w:t>Hold down the knob and at the same time depress the ignition button near the burner;</w:t>
      </w:r>
    </w:p>
    <w:p w:rsidR="00C869EE" w:rsidRDefault="00C869EE" w:rsidP="00C869EE">
      <w:pPr>
        <w:numPr>
          <w:ilvl w:val="0"/>
          <w:numId w:val="4"/>
        </w:numPr>
      </w:pPr>
      <w:r>
        <w:t>After lighting the flame, hold down the knob for 15 more seconds to allow the thermocouple (safety device) to heat. If the flame goes out when you release the knob, repeat the operation;</w:t>
      </w:r>
    </w:p>
    <w:p w:rsidR="00C869EE" w:rsidRDefault="00C869EE" w:rsidP="00C869EE">
      <w:pPr>
        <w:numPr>
          <w:ilvl w:val="0"/>
          <w:numId w:val="4"/>
        </w:numPr>
      </w:pPr>
      <w:r>
        <w:t>Turn the knob to the desired heat setting within the ranges between positions ‘</w:t>
      </w:r>
      <w:r>
        <w:rPr>
          <w:rFonts w:ascii="Arial Narrow" w:hAnsi="Arial Narrow"/>
          <w:b/>
        </w:rPr>
        <w:object w:dxaOrig="891" w:dyaOrig="891">
          <v:shape id="_x0000_i1028" type="#_x0000_t75" style="width:26.4pt;height:26.4pt" o:ole="" fillcolor="window">
            <v:imagedata r:id="rId7" o:title=""/>
          </v:shape>
          <o:OLEObject Type="Embed" ProgID="Unknown" ShapeID="_x0000_i1028" DrawAspect="Content" ObjectID="_1727086405" r:id="rId11"/>
        </w:object>
      </w:r>
      <w:r>
        <w:rPr>
          <w:rFonts w:ascii="Arial Narrow" w:hAnsi="Arial Narrow"/>
          <w:b/>
        </w:rPr>
        <w:t>’</w:t>
      </w:r>
      <w:r>
        <w:t xml:space="preserve"> and ‘</w:t>
      </w:r>
      <w:r>
        <w:rPr>
          <w:rFonts w:ascii="Arial Narrow" w:hAnsi="Arial Narrow"/>
          <w:b/>
        </w:rPr>
        <w:object w:dxaOrig="891" w:dyaOrig="891">
          <v:shape id="_x0000_i1029" type="#_x0000_t75" style="width:17.4pt;height:17.4pt" o:ole="" fillcolor="window">
            <v:imagedata r:id="rId7" o:title=""/>
          </v:shape>
          <o:OLEObject Type="Embed" ProgID="Unknown" ShapeID="_x0000_i1029" DrawAspect="Content" ObjectID="_1727086406" r:id="rId12"/>
        </w:object>
      </w:r>
      <w:r>
        <w:rPr>
          <w:rFonts w:ascii="Arial Narrow" w:hAnsi="Arial Narrow"/>
          <w:b/>
        </w:rPr>
        <w:t>’</w:t>
      </w:r>
      <w:r>
        <w:t>.</w:t>
      </w:r>
    </w:p>
    <w:p w:rsidR="00C869EE" w:rsidRDefault="00C869EE" w:rsidP="00C869EE">
      <w:pPr>
        <w:numPr>
          <w:ilvl w:val="0"/>
          <w:numId w:val="4"/>
        </w:numPr>
      </w:pPr>
      <w:r>
        <w:t xml:space="preserve">To turn off the burner, turn the knob clockwise to the position ‘ </w:t>
      </w:r>
      <w:r>
        <w:rPr>
          <w:rFonts w:ascii="Wingdings" w:hAnsi="Wingdings"/>
          <w:b/>
        </w:rPr>
        <w:t></w:t>
      </w:r>
      <w:r>
        <w:t xml:space="preserve"> ‘.</w:t>
      </w:r>
    </w:p>
    <w:p w:rsidR="00C869EE" w:rsidRDefault="00C869EE" w:rsidP="00C869EE">
      <w:pPr>
        <w:numPr>
          <w:ilvl w:val="0"/>
          <w:numId w:val="4"/>
        </w:numPr>
      </w:pPr>
      <w:r>
        <w:t>Allow sufficient time to enable the griddle plate to heat before commencing cooking e.g. 5 – 10 minutes.</w:t>
      </w:r>
    </w:p>
    <w:p w:rsidR="00C869EE" w:rsidRDefault="00C869EE" w:rsidP="00C869EE"/>
    <w:p w:rsidR="00C869EE" w:rsidRPr="003F2B10" w:rsidRDefault="00C869EE" w:rsidP="00C869EE">
      <w:pPr>
        <w:rPr>
          <w:b/>
          <w:sz w:val="28"/>
          <w:szCs w:val="28"/>
        </w:rPr>
      </w:pPr>
      <w:r w:rsidRPr="003F2B10">
        <w:rPr>
          <w:b/>
          <w:sz w:val="28"/>
          <w:szCs w:val="28"/>
        </w:rPr>
        <w:t>Warning:</w:t>
      </w:r>
    </w:p>
    <w:p w:rsidR="00C869EE" w:rsidRDefault="00C869EE" w:rsidP="00C869EE">
      <w:r>
        <w:t>Do not leave the burners operating unattended. If the flame goes out, the burner will shut off and will have to be restarted as detailed above.</w:t>
      </w:r>
    </w:p>
    <w:p w:rsidR="00C869EE" w:rsidRPr="00D609DD" w:rsidRDefault="00C869EE" w:rsidP="00C869EE">
      <w:r>
        <w:t>Do not place the hand (or other parts of the body) in a position where it may be affected during starting or operating the burners. Flames may be evident from the sides of utensils during ignition and operation of the burners.</w:t>
      </w:r>
    </w:p>
    <w:p w:rsidR="00C869EE" w:rsidRDefault="00C869EE" w:rsidP="00C869EE">
      <w:pPr>
        <w:jc w:val="center"/>
        <w:rPr>
          <w:b/>
          <w:sz w:val="32"/>
          <w:szCs w:val="32"/>
        </w:rPr>
      </w:pPr>
    </w:p>
    <w:p w:rsidR="00483D9B" w:rsidRDefault="00483D9B" w:rsidP="00483D9B">
      <w:pPr>
        <w:rPr>
          <w:b/>
        </w:rPr>
      </w:pPr>
      <w:r>
        <w:rPr>
          <w:b/>
        </w:rPr>
        <w:t xml:space="preserve">Notes: </w:t>
      </w:r>
    </w:p>
    <w:p w:rsidR="00483D9B" w:rsidRDefault="00483D9B" w:rsidP="00483D9B">
      <w:pPr>
        <w:numPr>
          <w:ilvl w:val="0"/>
          <w:numId w:val="2"/>
        </w:numPr>
        <w:rPr>
          <w:b/>
        </w:rPr>
      </w:pPr>
      <w:r>
        <w:rPr>
          <w:b/>
        </w:rPr>
        <w:t>For best results, space foods evenly on the griddle and do not overload griddle.</w:t>
      </w:r>
    </w:p>
    <w:p w:rsidR="00483D9B" w:rsidRDefault="001F3EB3" w:rsidP="00483D9B">
      <w:pPr>
        <w:numPr>
          <w:ilvl w:val="0"/>
          <w:numId w:val="2"/>
        </w:numPr>
        <w:rPr>
          <w:b/>
        </w:rPr>
      </w:pPr>
      <w:r>
        <w:rPr>
          <w:b/>
        </w:rPr>
        <w:t>Only use wooden or plastic cooking utensils to prolong the life of the non-stick coating.</w:t>
      </w:r>
    </w:p>
    <w:p w:rsidR="001F3EB3" w:rsidRDefault="001F3EB3" w:rsidP="00483D9B">
      <w:pPr>
        <w:numPr>
          <w:ilvl w:val="0"/>
          <w:numId w:val="2"/>
        </w:numPr>
        <w:rPr>
          <w:b/>
        </w:rPr>
      </w:pPr>
      <w:r>
        <w:rPr>
          <w:b/>
        </w:rPr>
        <w:t>Do not place any pot, pan, or dish on the non-stick griddle surface.</w:t>
      </w:r>
    </w:p>
    <w:p w:rsidR="00483D9B" w:rsidRPr="00483D9B" w:rsidRDefault="00483D9B" w:rsidP="00483D9B">
      <w:pPr>
        <w:rPr>
          <w:b/>
        </w:rPr>
      </w:pPr>
    </w:p>
    <w:p w:rsidR="009321A5" w:rsidRDefault="009321A5" w:rsidP="009321A5">
      <w:pPr>
        <w:jc w:val="center"/>
        <w:rPr>
          <w:b/>
          <w:sz w:val="32"/>
          <w:szCs w:val="32"/>
        </w:rPr>
      </w:pPr>
    </w:p>
    <w:p w:rsidR="009321A5" w:rsidRDefault="009321A5" w:rsidP="009321A5">
      <w:pPr>
        <w:jc w:val="center"/>
        <w:rPr>
          <w:b/>
          <w:sz w:val="32"/>
          <w:szCs w:val="32"/>
        </w:rPr>
      </w:pPr>
    </w:p>
    <w:p w:rsidR="009321A5" w:rsidRDefault="009321A5" w:rsidP="009321A5">
      <w:pPr>
        <w:jc w:val="center"/>
        <w:rPr>
          <w:b/>
          <w:sz w:val="32"/>
          <w:szCs w:val="32"/>
        </w:rPr>
      </w:pPr>
    </w:p>
    <w:p w:rsidR="009321A5" w:rsidRDefault="009321A5" w:rsidP="009321A5">
      <w:pPr>
        <w:jc w:val="center"/>
        <w:rPr>
          <w:b/>
          <w:sz w:val="32"/>
          <w:szCs w:val="32"/>
        </w:rPr>
      </w:pPr>
      <w:r>
        <w:rPr>
          <w:b/>
          <w:sz w:val="32"/>
          <w:szCs w:val="32"/>
        </w:rPr>
        <w:t>APPLIANCE SERVICE</w:t>
      </w:r>
    </w:p>
    <w:p w:rsidR="009321A5" w:rsidRDefault="009321A5" w:rsidP="009321A5"/>
    <w:p w:rsidR="009321A5" w:rsidRDefault="009321A5" w:rsidP="009321A5">
      <w:r>
        <w:t>Appliance must only be serviced by an FED authorised person.</w:t>
      </w:r>
    </w:p>
    <w:p w:rsidR="009321A5" w:rsidRDefault="009321A5" w:rsidP="009321A5"/>
    <w:p w:rsidR="009321A5" w:rsidRDefault="009321A5" w:rsidP="009321A5">
      <w:r>
        <w:t>Appliance should be serviced at least every 2 years or more frequently depending on use. This service is not covered by warranty.</w:t>
      </w:r>
    </w:p>
    <w:p w:rsidR="009321A5" w:rsidRDefault="009321A5" w:rsidP="009321A5">
      <w:pPr>
        <w:numPr>
          <w:ilvl w:val="0"/>
          <w:numId w:val="1"/>
        </w:numPr>
      </w:pPr>
      <w:r>
        <w:t>Service should include check operation of valves, safety dev</w:t>
      </w:r>
      <w:r w:rsidR="0094633A">
        <w:t xml:space="preserve">ices, all other components and </w:t>
      </w:r>
      <w:r>
        <w:t>for gas leaks.</w:t>
      </w:r>
    </w:p>
    <w:p w:rsidR="009321A5" w:rsidRDefault="009321A5" w:rsidP="009321A5">
      <w:pPr>
        <w:numPr>
          <w:ilvl w:val="0"/>
          <w:numId w:val="1"/>
        </w:numPr>
      </w:pPr>
      <w:r>
        <w:t xml:space="preserve">Any parts which have deteriorated or not working correctly should be replaced by genuine parts available from FED. </w:t>
      </w:r>
    </w:p>
    <w:p w:rsidR="004F773F" w:rsidRDefault="004F773F" w:rsidP="004F773F">
      <w:pPr>
        <w:ind w:left="720"/>
      </w:pPr>
      <w:r>
        <w:t>FOOD EQUIPMENT DISTRIBUTORS Pty Ltd</w:t>
      </w:r>
    </w:p>
    <w:p w:rsidR="004F773F" w:rsidRDefault="004F773F" w:rsidP="004F773F">
      <w:pPr>
        <w:ind w:left="720"/>
      </w:pPr>
      <w:bookmarkStart w:id="0" w:name="_GoBack"/>
      <w:bookmarkEnd w:id="0"/>
      <w:r>
        <w:t>www.foodequipment.com.au</w:t>
      </w:r>
    </w:p>
    <w:p w:rsidR="004F773F" w:rsidRDefault="004F773F" w:rsidP="004F773F">
      <w:pPr>
        <w:ind w:left="360"/>
      </w:pPr>
    </w:p>
    <w:p w:rsidR="00C61744" w:rsidRDefault="00C61744" w:rsidP="00C61744">
      <w:pPr>
        <w:spacing w:before="440" w:after="440"/>
        <w:ind w:left="720"/>
        <w:rPr>
          <w:b/>
          <w:snapToGrid w:val="0"/>
          <w:sz w:val="36"/>
          <w:lang w:val="en-GB"/>
        </w:rPr>
      </w:pPr>
    </w:p>
    <w:p w:rsidR="00BE284C" w:rsidRDefault="00BE284C" w:rsidP="00C61744">
      <w:pPr>
        <w:spacing w:before="440" w:after="440"/>
        <w:ind w:left="720"/>
        <w:rPr>
          <w:b/>
          <w:snapToGrid w:val="0"/>
          <w:sz w:val="36"/>
          <w:lang w:val="en-GB"/>
        </w:rPr>
      </w:pPr>
    </w:p>
    <w:p w:rsidR="00BE284C" w:rsidRDefault="00BE284C" w:rsidP="00C61744">
      <w:pPr>
        <w:spacing w:before="440" w:after="440"/>
        <w:ind w:left="720"/>
        <w:rPr>
          <w:b/>
          <w:snapToGrid w:val="0"/>
          <w:sz w:val="36"/>
          <w:lang w:val="en-GB"/>
        </w:rPr>
      </w:pPr>
    </w:p>
    <w:p w:rsidR="00BE284C" w:rsidRDefault="00BE284C" w:rsidP="00C61744">
      <w:pPr>
        <w:spacing w:before="440" w:after="440"/>
        <w:ind w:left="720"/>
        <w:rPr>
          <w:b/>
          <w:snapToGrid w:val="0"/>
          <w:sz w:val="36"/>
          <w:lang w:val="en-GB"/>
        </w:rPr>
      </w:pPr>
    </w:p>
    <w:p w:rsidR="00BE284C" w:rsidRDefault="00BE284C" w:rsidP="00C61744">
      <w:pPr>
        <w:spacing w:before="440" w:after="440"/>
        <w:ind w:left="720"/>
        <w:rPr>
          <w:b/>
          <w:snapToGrid w:val="0"/>
          <w:sz w:val="36"/>
          <w:lang w:val="en-GB"/>
        </w:rPr>
      </w:pPr>
    </w:p>
    <w:p w:rsidR="00BE284C" w:rsidRDefault="00BE284C" w:rsidP="00C61744">
      <w:pPr>
        <w:spacing w:before="440" w:after="440"/>
        <w:ind w:left="720"/>
        <w:rPr>
          <w:b/>
          <w:snapToGrid w:val="0"/>
          <w:sz w:val="36"/>
          <w:lang w:val="en-GB"/>
        </w:rPr>
      </w:pPr>
    </w:p>
    <w:p w:rsidR="00C61744" w:rsidRDefault="00C61744" w:rsidP="00C61744">
      <w:pPr>
        <w:spacing w:before="440" w:after="440"/>
        <w:ind w:left="720"/>
        <w:rPr>
          <w:b/>
          <w:snapToGrid w:val="0"/>
          <w:sz w:val="36"/>
          <w:lang w:val="en-GB"/>
        </w:rPr>
      </w:pPr>
      <w:r>
        <w:rPr>
          <w:b/>
          <w:snapToGrid w:val="0"/>
          <w:sz w:val="36"/>
          <w:lang w:val="en-GB"/>
        </w:rPr>
        <w:t>Troubleshooting</w:t>
      </w:r>
    </w:p>
    <w:p w:rsidR="00C61744" w:rsidRDefault="00C61744" w:rsidP="00C61744">
      <w:pPr>
        <w:numPr>
          <w:ilvl w:val="0"/>
          <w:numId w:val="1"/>
        </w:numPr>
        <w:spacing w:after="240"/>
        <w:jc w:val="both"/>
        <w:rPr>
          <w:snapToGrid w:val="0"/>
          <w:lang w:val="en-GB"/>
        </w:rPr>
      </w:pPr>
      <w:r>
        <w:rPr>
          <w:snapToGrid w:val="0"/>
          <w:lang w:val="en-GB"/>
        </w:rPr>
        <w:t xml:space="preserve">If the appliance fails to operate, check gas supply to appliance </w:t>
      </w:r>
    </w:p>
    <w:p w:rsidR="00C61744" w:rsidRPr="00C61744" w:rsidRDefault="00C61744" w:rsidP="00C61744">
      <w:pPr>
        <w:numPr>
          <w:ilvl w:val="0"/>
          <w:numId w:val="1"/>
        </w:numPr>
        <w:spacing w:after="240"/>
        <w:jc w:val="both"/>
        <w:rPr>
          <w:b/>
          <w:snapToGrid w:val="0"/>
          <w:lang w:val="en-GB"/>
        </w:rPr>
      </w:pPr>
      <w:r>
        <w:rPr>
          <w:snapToGrid w:val="0"/>
          <w:lang w:val="en-GB"/>
        </w:rPr>
        <w:object w:dxaOrig="1071" w:dyaOrig="947">
          <v:shape id="_x0000_i1030" type="#_x0000_t75" style="width:37.2pt;height:33pt" o:ole="" fillcolor="window">
            <v:imagedata r:id="rId13" o:title=""/>
          </v:shape>
          <o:OLEObject Type="Embed" ProgID="Word.Picture.8" ShapeID="_x0000_i1030" DrawAspect="Content" ObjectID="_1727086407" r:id="rId14"/>
        </w:object>
      </w:r>
      <w:r w:rsidRPr="00C61744">
        <w:rPr>
          <w:snapToGrid w:val="0"/>
          <w:lang w:val="en-GB"/>
        </w:rPr>
        <w:t xml:space="preserve">  Users are not allowed to perform any maintenance operations on any parts of this appli</w:t>
      </w:r>
      <w:r w:rsidRPr="00C61744">
        <w:rPr>
          <w:snapToGrid w:val="0"/>
          <w:lang w:val="en-GB"/>
        </w:rPr>
        <w:softHyphen/>
        <w:t>ance.          Maintenance must be carried out exclusively by authorized technical service personnel.</w:t>
      </w:r>
    </w:p>
    <w:tbl>
      <w:tblPr>
        <w:tblW w:w="0" w:type="auto"/>
        <w:tblInd w:w="-6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98"/>
        <w:gridCol w:w="2126"/>
        <w:gridCol w:w="2126"/>
        <w:gridCol w:w="3231"/>
      </w:tblGrid>
      <w:tr w:rsidR="00C61744" w:rsidTr="00C61744">
        <w:trPr>
          <w:cantSplit/>
          <w:trHeight w:val="335"/>
        </w:trPr>
        <w:tc>
          <w:tcPr>
            <w:tcW w:w="2298" w:type="dxa"/>
            <w:vMerge w:val="restart"/>
            <w:tcBorders>
              <w:top w:val="single" w:sz="8" w:space="0" w:color="auto"/>
              <w:left w:val="single" w:sz="8" w:space="0" w:color="auto"/>
              <w:bottom w:val="single" w:sz="12" w:space="0" w:color="auto"/>
              <w:right w:val="single" w:sz="8" w:space="0" w:color="auto"/>
            </w:tcBorders>
            <w:shd w:val="pct10" w:color="auto" w:fill="FFFFFF"/>
            <w:vAlign w:val="center"/>
          </w:tcPr>
          <w:p w:rsidR="00C61744" w:rsidRDefault="00C61744" w:rsidP="00C61744">
            <w:pPr>
              <w:jc w:val="center"/>
              <w:rPr>
                <w:b/>
                <w:snapToGrid w:val="0"/>
                <w:color w:val="000000"/>
                <w:sz w:val="22"/>
              </w:rPr>
            </w:pPr>
            <w:r>
              <w:rPr>
                <w:b/>
                <w:snapToGrid w:val="0"/>
                <w:color w:val="000000"/>
                <w:sz w:val="22"/>
              </w:rPr>
              <w:t>TROUBLE</w:t>
            </w:r>
          </w:p>
        </w:tc>
        <w:tc>
          <w:tcPr>
            <w:tcW w:w="2126" w:type="dxa"/>
            <w:vMerge w:val="restart"/>
            <w:tcBorders>
              <w:top w:val="single" w:sz="8" w:space="0" w:color="auto"/>
              <w:left w:val="single" w:sz="8" w:space="0" w:color="auto"/>
              <w:bottom w:val="single" w:sz="12" w:space="0" w:color="auto"/>
              <w:right w:val="single" w:sz="8" w:space="0" w:color="auto"/>
            </w:tcBorders>
            <w:shd w:val="pct10" w:color="auto" w:fill="FFFFFF"/>
            <w:vAlign w:val="center"/>
          </w:tcPr>
          <w:p w:rsidR="00C61744" w:rsidRDefault="00C61744" w:rsidP="00C61744">
            <w:pPr>
              <w:jc w:val="center"/>
              <w:rPr>
                <w:b/>
                <w:snapToGrid w:val="0"/>
                <w:color w:val="000000"/>
                <w:sz w:val="22"/>
              </w:rPr>
            </w:pPr>
            <w:r>
              <w:rPr>
                <w:b/>
                <w:snapToGrid w:val="0"/>
                <w:color w:val="000000"/>
                <w:sz w:val="22"/>
              </w:rPr>
              <w:t>CAUSE</w:t>
            </w:r>
          </w:p>
        </w:tc>
        <w:tc>
          <w:tcPr>
            <w:tcW w:w="5357" w:type="dxa"/>
            <w:gridSpan w:val="2"/>
            <w:tcBorders>
              <w:left w:val="nil"/>
              <w:bottom w:val="nil"/>
            </w:tcBorders>
            <w:shd w:val="pct10" w:color="auto" w:fill="FFFFFF"/>
            <w:vAlign w:val="center"/>
          </w:tcPr>
          <w:p w:rsidR="00C61744" w:rsidRDefault="00C61744" w:rsidP="00C61744">
            <w:pPr>
              <w:jc w:val="center"/>
              <w:rPr>
                <w:b/>
                <w:snapToGrid w:val="0"/>
                <w:color w:val="000000"/>
                <w:sz w:val="22"/>
              </w:rPr>
            </w:pPr>
            <w:r>
              <w:rPr>
                <w:b/>
                <w:snapToGrid w:val="0"/>
                <w:color w:val="000000"/>
                <w:sz w:val="22"/>
              </w:rPr>
              <w:t>SOLUTION</w:t>
            </w:r>
          </w:p>
        </w:tc>
      </w:tr>
      <w:tr w:rsidR="00C61744" w:rsidTr="00C61744">
        <w:trPr>
          <w:cantSplit/>
          <w:trHeight w:val="567"/>
        </w:trPr>
        <w:tc>
          <w:tcPr>
            <w:tcW w:w="2298" w:type="dxa"/>
            <w:vMerge/>
            <w:tcBorders>
              <w:top w:val="single" w:sz="8" w:space="0" w:color="auto"/>
              <w:left w:val="single" w:sz="8" w:space="0" w:color="auto"/>
              <w:bottom w:val="single" w:sz="12" w:space="0" w:color="auto"/>
              <w:right w:val="single" w:sz="8" w:space="0" w:color="auto"/>
            </w:tcBorders>
            <w:shd w:val="pct10" w:color="auto" w:fill="FFFFFF"/>
          </w:tcPr>
          <w:p w:rsidR="00C61744" w:rsidRDefault="00C61744" w:rsidP="00C61744">
            <w:pPr>
              <w:rPr>
                <w:b/>
                <w:snapToGrid w:val="0"/>
                <w:color w:val="000000"/>
                <w:sz w:val="22"/>
              </w:rPr>
            </w:pPr>
          </w:p>
        </w:tc>
        <w:tc>
          <w:tcPr>
            <w:tcW w:w="2126" w:type="dxa"/>
            <w:vMerge/>
            <w:tcBorders>
              <w:top w:val="single" w:sz="8" w:space="0" w:color="auto"/>
              <w:left w:val="single" w:sz="8" w:space="0" w:color="auto"/>
              <w:bottom w:val="single" w:sz="12" w:space="0" w:color="auto"/>
              <w:right w:val="single" w:sz="8" w:space="0" w:color="auto"/>
            </w:tcBorders>
            <w:shd w:val="pct10" w:color="auto" w:fill="FFFFFF"/>
          </w:tcPr>
          <w:p w:rsidR="00C61744" w:rsidRDefault="00C61744" w:rsidP="00C61744">
            <w:pPr>
              <w:rPr>
                <w:b/>
                <w:snapToGrid w:val="0"/>
                <w:color w:val="000000"/>
                <w:sz w:val="22"/>
              </w:rPr>
            </w:pPr>
          </w:p>
        </w:tc>
        <w:tc>
          <w:tcPr>
            <w:tcW w:w="2126" w:type="dxa"/>
            <w:tcBorders>
              <w:left w:val="nil"/>
              <w:bottom w:val="single" w:sz="12" w:space="0" w:color="auto"/>
            </w:tcBorders>
            <w:shd w:val="pct10" w:color="auto" w:fill="FFFFFF"/>
            <w:vAlign w:val="center"/>
          </w:tcPr>
          <w:p w:rsidR="00C61744" w:rsidRDefault="00C61744" w:rsidP="00C61744">
            <w:pPr>
              <w:jc w:val="center"/>
              <w:rPr>
                <w:b/>
                <w:snapToGrid w:val="0"/>
                <w:color w:val="000000"/>
                <w:sz w:val="22"/>
              </w:rPr>
            </w:pPr>
            <w:r>
              <w:rPr>
                <w:b/>
                <w:snapToGrid w:val="0"/>
                <w:color w:val="000000"/>
                <w:sz w:val="22"/>
              </w:rPr>
              <w:t>FOR THE USER</w:t>
            </w:r>
          </w:p>
        </w:tc>
        <w:tc>
          <w:tcPr>
            <w:tcW w:w="3231" w:type="dxa"/>
            <w:tcBorders>
              <w:bottom w:val="single" w:sz="12" w:space="0" w:color="auto"/>
            </w:tcBorders>
            <w:shd w:val="pct10" w:color="auto" w:fill="FFFFFF"/>
            <w:vAlign w:val="center"/>
          </w:tcPr>
          <w:p w:rsidR="00C61744" w:rsidRDefault="00C61744" w:rsidP="00C61744">
            <w:pPr>
              <w:jc w:val="center"/>
              <w:rPr>
                <w:b/>
                <w:snapToGrid w:val="0"/>
                <w:color w:val="000000"/>
                <w:sz w:val="22"/>
              </w:rPr>
            </w:pPr>
            <w:r>
              <w:rPr>
                <w:b/>
                <w:snapToGrid w:val="0"/>
                <w:color w:val="000000"/>
                <w:sz w:val="22"/>
              </w:rPr>
              <w:t>FOR THE TECHNICAL SUPPORT SERVICE</w:t>
            </w:r>
          </w:p>
        </w:tc>
      </w:tr>
      <w:tr w:rsidR="00C61744" w:rsidTr="00C61744">
        <w:trPr>
          <w:cantSplit/>
          <w:trHeight w:val="972"/>
        </w:trPr>
        <w:tc>
          <w:tcPr>
            <w:tcW w:w="2298" w:type="dxa"/>
            <w:tcBorders>
              <w:top w:val="nil"/>
            </w:tcBorders>
            <w:vAlign w:val="center"/>
          </w:tcPr>
          <w:p w:rsidR="00C61744" w:rsidRPr="009A54E4" w:rsidRDefault="00C61744" w:rsidP="00C61744">
            <w:pPr>
              <w:jc w:val="center"/>
              <w:rPr>
                <w:b/>
                <w:snapToGrid w:val="0"/>
                <w:color w:val="000000"/>
              </w:rPr>
            </w:pPr>
            <w:r>
              <w:rPr>
                <w:b/>
                <w:snapToGrid w:val="0"/>
                <w:color w:val="000000"/>
              </w:rPr>
              <w:t xml:space="preserve">Griddle </w:t>
            </w:r>
            <w:r w:rsidRPr="009A54E4">
              <w:rPr>
                <w:b/>
                <w:snapToGrid w:val="0"/>
                <w:color w:val="000000"/>
              </w:rPr>
              <w:t>Burners</w:t>
            </w:r>
          </w:p>
        </w:tc>
        <w:tc>
          <w:tcPr>
            <w:tcW w:w="2126" w:type="dxa"/>
            <w:tcBorders>
              <w:top w:val="nil"/>
            </w:tcBorders>
            <w:vAlign w:val="center"/>
          </w:tcPr>
          <w:p w:rsidR="00C61744" w:rsidRDefault="00C61744" w:rsidP="00C61744">
            <w:pPr>
              <w:ind w:left="111"/>
              <w:rPr>
                <w:snapToGrid w:val="0"/>
                <w:color w:val="000000"/>
              </w:rPr>
            </w:pPr>
          </w:p>
        </w:tc>
        <w:tc>
          <w:tcPr>
            <w:tcW w:w="2126" w:type="dxa"/>
            <w:tcBorders>
              <w:top w:val="nil"/>
            </w:tcBorders>
            <w:vAlign w:val="center"/>
          </w:tcPr>
          <w:p w:rsidR="00C61744" w:rsidRDefault="00C61744" w:rsidP="00C61744">
            <w:pPr>
              <w:rPr>
                <w:snapToGrid w:val="0"/>
                <w:color w:val="000000"/>
              </w:rPr>
            </w:pPr>
          </w:p>
        </w:tc>
        <w:tc>
          <w:tcPr>
            <w:tcW w:w="3231" w:type="dxa"/>
            <w:tcBorders>
              <w:top w:val="nil"/>
            </w:tcBorders>
            <w:vAlign w:val="center"/>
          </w:tcPr>
          <w:p w:rsidR="00C61744" w:rsidRDefault="00C61744" w:rsidP="00C61744">
            <w:pPr>
              <w:ind w:left="112"/>
              <w:rPr>
                <w:snapToGrid w:val="0"/>
                <w:color w:val="000000"/>
              </w:rPr>
            </w:pPr>
          </w:p>
        </w:tc>
      </w:tr>
      <w:tr w:rsidR="00C61744" w:rsidTr="00C61744">
        <w:trPr>
          <w:cantSplit/>
          <w:trHeight w:val="972"/>
        </w:trPr>
        <w:tc>
          <w:tcPr>
            <w:tcW w:w="2298" w:type="dxa"/>
            <w:vMerge w:val="restart"/>
            <w:tcBorders>
              <w:top w:val="nil"/>
            </w:tcBorders>
            <w:vAlign w:val="center"/>
          </w:tcPr>
          <w:p w:rsidR="00C61744" w:rsidRDefault="00C61744" w:rsidP="00C61744">
            <w:pPr>
              <w:jc w:val="center"/>
              <w:rPr>
                <w:snapToGrid w:val="0"/>
                <w:color w:val="000000"/>
              </w:rPr>
            </w:pPr>
            <w:r>
              <w:rPr>
                <w:snapToGrid w:val="0"/>
                <w:color w:val="000000"/>
              </w:rPr>
              <w:t>Burner won’t light:</w:t>
            </w:r>
          </w:p>
        </w:tc>
        <w:tc>
          <w:tcPr>
            <w:tcW w:w="2126" w:type="dxa"/>
            <w:tcBorders>
              <w:top w:val="nil"/>
            </w:tcBorders>
            <w:vAlign w:val="center"/>
          </w:tcPr>
          <w:p w:rsidR="00C61744" w:rsidRDefault="00C61744" w:rsidP="00C61744">
            <w:pPr>
              <w:ind w:left="111"/>
              <w:rPr>
                <w:snapToGrid w:val="0"/>
                <w:color w:val="000000"/>
              </w:rPr>
            </w:pPr>
            <w:r>
              <w:rPr>
                <w:snapToGrid w:val="0"/>
                <w:color w:val="000000"/>
              </w:rPr>
              <w:t>the ignition plug is not securely fixed, or the connection with the cable is wrong;</w:t>
            </w:r>
          </w:p>
        </w:tc>
        <w:tc>
          <w:tcPr>
            <w:tcW w:w="2126" w:type="dxa"/>
            <w:tcBorders>
              <w:top w:val="nil"/>
            </w:tcBorders>
            <w:vAlign w:val="center"/>
          </w:tcPr>
          <w:p w:rsidR="00C61744" w:rsidRDefault="00C61744" w:rsidP="00C61744">
            <w:pPr>
              <w:rPr>
                <w:snapToGrid w:val="0"/>
                <w:color w:val="000000"/>
              </w:rPr>
            </w:pPr>
          </w:p>
        </w:tc>
        <w:tc>
          <w:tcPr>
            <w:tcW w:w="3231" w:type="dxa"/>
            <w:tcBorders>
              <w:top w:val="nil"/>
            </w:tcBorders>
            <w:vAlign w:val="center"/>
          </w:tcPr>
          <w:p w:rsidR="00C61744" w:rsidRDefault="00C61744" w:rsidP="00C61744">
            <w:pPr>
              <w:ind w:left="112"/>
              <w:rPr>
                <w:snapToGrid w:val="0"/>
                <w:color w:val="000000"/>
              </w:rPr>
            </w:pPr>
            <w:r>
              <w:rPr>
                <w:snapToGrid w:val="0"/>
                <w:color w:val="000000"/>
              </w:rPr>
              <w:t>check the connection;</w:t>
            </w:r>
          </w:p>
        </w:tc>
      </w:tr>
      <w:tr w:rsidR="00C61744" w:rsidTr="00C61744">
        <w:trPr>
          <w:cantSplit/>
          <w:trHeight w:val="575"/>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ignition plug insulator damaged / dirty;</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Clean / replace the plug;</w:t>
            </w:r>
          </w:p>
        </w:tc>
      </w:tr>
      <w:tr w:rsidR="00C61744" w:rsidTr="00C61744">
        <w:trPr>
          <w:cantSplit/>
          <w:trHeight w:val="839"/>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clogged nozzle;</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clean the pilot flame nozzle or replace it;</w:t>
            </w:r>
          </w:p>
        </w:tc>
      </w:tr>
      <w:tr w:rsidR="00C61744" w:rsidTr="00C61744">
        <w:trPr>
          <w:cantSplit/>
          <w:trHeight w:val="580"/>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E67DD3">
            <w:pPr>
              <w:rPr>
                <w:snapToGrid w:val="0"/>
                <w:color w:val="000000"/>
              </w:rPr>
            </w:pPr>
            <w:r>
              <w:rPr>
                <w:snapToGrid w:val="0"/>
                <w:color w:val="000000"/>
              </w:rPr>
              <w:t>pressure drop in gas pipe;</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Check appliance inlet supply, pipe sizes, contact the gas utility company;</w:t>
            </w:r>
          </w:p>
        </w:tc>
      </w:tr>
      <w:tr w:rsidR="00C61744" w:rsidTr="00C61744">
        <w:trPr>
          <w:cantSplit/>
          <w:trHeight w:val="420"/>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gas valve damaged;</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replace it</w:t>
            </w:r>
          </w:p>
        </w:tc>
      </w:tr>
      <w:tr w:rsidR="00C61744" w:rsidTr="00C61744">
        <w:trPr>
          <w:cantSplit/>
          <w:trHeight w:val="842"/>
        </w:trPr>
        <w:tc>
          <w:tcPr>
            <w:tcW w:w="2298" w:type="dxa"/>
            <w:vMerge w:val="restart"/>
            <w:vAlign w:val="center"/>
          </w:tcPr>
          <w:p w:rsidR="00C61744" w:rsidRDefault="00C61744" w:rsidP="00C61744">
            <w:pPr>
              <w:jc w:val="center"/>
              <w:rPr>
                <w:snapToGrid w:val="0"/>
                <w:color w:val="000000"/>
              </w:rPr>
            </w:pPr>
            <w:r>
              <w:rPr>
                <w:snapToGrid w:val="0"/>
                <w:color w:val="000000"/>
              </w:rPr>
              <w:t>After releasing the knob, the flame goes out:</w:t>
            </w:r>
          </w:p>
        </w:tc>
        <w:tc>
          <w:tcPr>
            <w:tcW w:w="2126" w:type="dxa"/>
            <w:vAlign w:val="center"/>
          </w:tcPr>
          <w:p w:rsidR="00C61744" w:rsidRDefault="00C61744" w:rsidP="00C61744">
            <w:pPr>
              <w:ind w:left="111"/>
              <w:rPr>
                <w:snapToGrid w:val="0"/>
                <w:color w:val="000000"/>
              </w:rPr>
            </w:pPr>
            <w:r>
              <w:rPr>
                <w:snapToGrid w:val="0"/>
                <w:color w:val="000000"/>
              </w:rPr>
              <w:t>the thermocouple is not sufficiently heated by the burner flame;</w:t>
            </w:r>
          </w:p>
        </w:tc>
        <w:tc>
          <w:tcPr>
            <w:tcW w:w="2126" w:type="dxa"/>
            <w:vAlign w:val="center"/>
          </w:tcPr>
          <w:p w:rsidR="00C61744" w:rsidRDefault="00C61744" w:rsidP="00C61744">
            <w:pPr>
              <w:ind w:left="112"/>
              <w:rPr>
                <w:snapToGrid w:val="0"/>
                <w:color w:val="000000"/>
              </w:rPr>
            </w:pPr>
            <w:r>
              <w:rPr>
                <w:snapToGrid w:val="0"/>
                <w:color w:val="000000"/>
              </w:rPr>
              <w:t>Wait 2 minutes and repeat the ignition procedure;</w:t>
            </w:r>
          </w:p>
        </w:tc>
        <w:tc>
          <w:tcPr>
            <w:tcW w:w="3231" w:type="dxa"/>
            <w:vAlign w:val="center"/>
          </w:tcPr>
          <w:p w:rsidR="00C61744" w:rsidRDefault="00C61744" w:rsidP="00C61744">
            <w:pPr>
              <w:ind w:left="112"/>
              <w:rPr>
                <w:snapToGrid w:val="0"/>
                <w:color w:val="000000"/>
              </w:rPr>
            </w:pPr>
            <w:r>
              <w:rPr>
                <w:snapToGrid w:val="0"/>
                <w:color w:val="000000"/>
              </w:rPr>
              <w:t>Clean burner assembly and reposition thermocouple</w:t>
            </w:r>
          </w:p>
        </w:tc>
      </w:tr>
      <w:tr w:rsidR="00C61744" w:rsidTr="00C61744">
        <w:trPr>
          <w:cantSplit/>
          <w:trHeight w:val="423"/>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thermocouple faulty;</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replace the thermocouple;</w:t>
            </w:r>
          </w:p>
        </w:tc>
      </w:tr>
      <w:tr w:rsidR="00C61744" w:rsidTr="00C61744">
        <w:trPr>
          <w:cantSplit/>
          <w:trHeight w:val="430"/>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gas valve faulty;</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replace it</w:t>
            </w:r>
          </w:p>
        </w:tc>
      </w:tr>
      <w:tr w:rsidR="00C61744" w:rsidTr="00C61744">
        <w:trPr>
          <w:cantSplit/>
          <w:trHeight w:val="579"/>
        </w:trPr>
        <w:tc>
          <w:tcPr>
            <w:tcW w:w="2298" w:type="dxa"/>
            <w:vMerge w:val="restart"/>
            <w:vAlign w:val="center"/>
          </w:tcPr>
          <w:p w:rsidR="00C61744" w:rsidRDefault="00A94B14" w:rsidP="00C61744">
            <w:pPr>
              <w:jc w:val="center"/>
              <w:rPr>
                <w:snapToGrid w:val="0"/>
                <w:color w:val="000000"/>
              </w:rPr>
            </w:pPr>
            <w:r>
              <w:rPr>
                <w:snapToGrid w:val="0"/>
                <w:color w:val="000000"/>
              </w:rPr>
              <w:t>M</w:t>
            </w:r>
            <w:r w:rsidR="00C61744">
              <w:rPr>
                <w:snapToGrid w:val="0"/>
                <w:color w:val="000000"/>
              </w:rPr>
              <w:t>ain burner does not seem strong enough:</w:t>
            </w:r>
          </w:p>
        </w:tc>
        <w:tc>
          <w:tcPr>
            <w:tcW w:w="2126" w:type="dxa"/>
            <w:vAlign w:val="center"/>
          </w:tcPr>
          <w:p w:rsidR="00C61744" w:rsidRDefault="00C61744" w:rsidP="00C61744">
            <w:pPr>
              <w:ind w:left="111"/>
              <w:rPr>
                <w:snapToGrid w:val="0"/>
                <w:color w:val="000000"/>
              </w:rPr>
            </w:pPr>
            <w:r>
              <w:rPr>
                <w:snapToGrid w:val="0"/>
                <w:color w:val="000000"/>
              </w:rPr>
              <w:t>pressure drop in gas pipe;</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Check inlet gas pressure, pipe sizes, contact the gas utility company;</w:t>
            </w:r>
          </w:p>
        </w:tc>
      </w:tr>
      <w:tr w:rsidR="00C61744" w:rsidTr="00C61744">
        <w:trPr>
          <w:cantSplit/>
          <w:trHeight w:val="827"/>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burner nozzle is clogged;</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clean the burner nozzle (see chapter, Replacing the main burner nozzles);</w:t>
            </w:r>
          </w:p>
        </w:tc>
      </w:tr>
      <w:tr w:rsidR="00C61744" w:rsidTr="00C61744">
        <w:trPr>
          <w:cantSplit/>
          <w:trHeight w:val="427"/>
        </w:trPr>
        <w:tc>
          <w:tcPr>
            <w:tcW w:w="2298" w:type="dxa"/>
            <w:vMerge/>
            <w:vAlign w:val="center"/>
          </w:tcPr>
          <w:p w:rsidR="00C61744" w:rsidRDefault="00C61744" w:rsidP="00C61744">
            <w:pPr>
              <w:rPr>
                <w:snapToGrid w:val="0"/>
                <w:color w:val="000000"/>
              </w:rPr>
            </w:pPr>
          </w:p>
        </w:tc>
        <w:tc>
          <w:tcPr>
            <w:tcW w:w="2126" w:type="dxa"/>
            <w:vAlign w:val="center"/>
          </w:tcPr>
          <w:p w:rsidR="00C61744" w:rsidRDefault="00C61744" w:rsidP="00C61744">
            <w:pPr>
              <w:ind w:left="111"/>
              <w:rPr>
                <w:snapToGrid w:val="0"/>
                <w:color w:val="000000"/>
              </w:rPr>
            </w:pPr>
            <w:r>
              <w:rPr>
                <w:snapToGrid w:val="0"/>
                <w:color w:val="000000"/>
              </w:rPr>
              <w:t>gas valve damaged;</w:t>
            </w:r>
          </w:p>
        </w:tc>
        <w:tc>
          <w:tcPr>
            <w:tcW w:w="2126" w:type="dxa"/>
            <w:vAlign w:val="center"/>
          </w:tcPr>
          <w:p w:rsidR="00C61744" w:rsidRDefault="00C61744" w:rsidP="00C61744">
            <w:pPr>
              <w:rPr>
                <w:snapToGrid w:val="0"/>
                <w:color w:val="000000"/>
              </w:rPr>
            </w:pPr>
          </w:p>
        </w:tc>
        <w:tc>
          <w:tcPr>
            <w:tcW w:w="3231" w:type="dxa"/>
            <w:vAlign w:val="center"/>
          </w:tcPr>
          <w:p w:rsidR="00C61744" w:rsidRDefault="00C61744" w:rsidP="00C61744">
            <w:pPr>
              <w:ind w:left="112"/>
              <w:rPr>
                <w:snapToGrid w:val="0"/>
                <w:color w:val="000000"/>
              </w:rPr>
            </w:pPr>
            <w:r>
              <w:rPr>
                <w:snapToGrid w:val="0"/>
                <w:color w:val="000000"/>
              </w:rPr>
              <w:t>replace it</w:t>
            </w:r>
          </w:p>
        </w:tc>
      </w:tr>
      <w:tr w:rsidR="00A94B14" w:rsidTr="00C61744">
        <w:trPr>
          <w:cantSplit/>
          <w:trHeight w:val="427"/>
        </w:trPr>
        <w:tc>
          <w:tcPr>
            <w:tcW w:w="2298" w:type="dxa"/>
            <w:vAlign w:val="center"/>
          </w:tcPr>
          <w:p w:rsidR="00A94B14" w:rsidRDefault="00A94B14" w:rsidP="00C61744">
            <w:pPr>
              <w:rPr>
                <w:snapToGrid w:val="0"/>
                <w:color w:val="000000"/>
              </w:rPr>
            </w:pPr>
            <w:r>
              <w:rPr>
                <w:snapToGrid w:val="0"/>
                <w:color w:val="000000"/>
              </w:rPr>
              <w:t>Minimum flame adjustment</w:t>
            </w:r>
          </w:p>
        </w:tc>
        <w:tc>
          <w:tcPr>
            <w:tcW w:w="2126" w:type="dxa"/>
            <w:vAlign w:val="center"/>
          </w:tcPr>
          <w:p w:rsidR="00A94B14" w:rsidRDefault="00A94B14" w:rsidP="00C61744">
            <w:pPr>
              <w:ind w:left="111"/>
              <w:rPr>
                <w:snapToGrid w:val="0"/>
                <w:color w:val="000000"/>
              </w:rPr>
            </w:pPr>
          </w:p>
        </w:tc>
        <w:tc>
          <w:tcPr>
            <w:tcW w:w="2126" w:type="dxa"/>
            <w:vAlign w:val="center"/>
          </w:tcPr>
          <w:p w:rsidR="00A94B14" w:rsidRDefault="00A94B14" w:rsidP="00C61744">
            <w:pPr>
              <w:rPr>
                <w:snapToGrid w:val="0"/>
                <w:color w:val="000000"/>
              </w:rPr>
            </w:pPr>
          </w:p>
        </w:tc>
        <w:tc>
          <w:tcPr>
            <w:tcW w:w="3231" w:type="dxa"/>
            <w:vAlign w:val="center"/>
          </w:tcPr>
          <w:p w:rsidR="00A94B14" w:rsidRDefault="00A94B14" w:rsidP="00C61744">
            <w:pPr>
              <w:ind w:left="112"/>
              <w:rPr>
                <w:snapToGrid w:val="0"/>
                <w:color w:val="000000"/>
              </w:rPr>
            </w:pPr>
            <w:r>
              <w:rPr>
                <w:snapToGrid w:val="0"/>
                <w:color w:val="000000"/>
              </w:rPr>
              <w:t>Light burner and turne to minimum setting. Remove knob, insert screw to adjust flame.</w:t>
            </w:r>
          </w:p>
        </w:tc>
      </w:tr>
      <w:tr w:rsidR="00A94B14" w:rsidTr="00C61744">
        <w:trPr>
          <w:cantSplit/>
          <w:trHeight w:val="427"/>
        </w:trPr>
        <w:tc>
          <w:tcPr>
            <w:tcW w:w="2298" w:type="dxa"/>
            <w:vAlign w:val="center"/>
          </w:tcPr>
          <w:p w:rsidR="00A94B14" w:rsidRDefault="00A94B14" w:rsidP="00A94B14">
            <w:pPr>
              <w:rPr>
                <w:snapToGrid w:val="0"/>
                <w:color w:val="000000"/>
              </w:rPr>
            </w:pPr>
            <w:r>
              <w:rPr>
                <w:snapToGrid w:val="0"/>
                <w:color w:val="000000"/>
              </w:rPr>
              <w:t>Burner aeration</w:t>
            </w:r>
          </w:p>
        </w:tc>
        <w:tc>
          <w:tcPr>
            <w:tcW w:w="2126" w:type="dxa"/>
            <w:vAlign w:val="center"/>
          </w:tcPr>
          <w:p w:rsidR="00A94B14" w:rsidRDefault="00A94B14" w:rsidP="00C61744">
            <w:pPr>
              <w:ind w:left="111"/>
              <w:rPr>
                <w:snapToGrid w:val="0"/>
                <w:color w:val="000000"/>
              </w:rPr>
            </w:pPr>
          </w:p>
        </w:tc>
        <w:tc>
          <w:tcPr>
            <w:tcW w:w="2126" w:type="dxa"/>
            <w:vAlign w:val="center"/>
          </w:tcPr>
          <w:p w:rsidR="00A94B14" w:rsidRDefault="00A94B14" w:rsidP="00C61744">
            <w:pPr>
              <w:rPr>
                <w:snapToGrid w:val="0"/>
                <w:color w:val="000000"/>
              </w:rPr>
            </w:pPr>
          </w:p>
        </w:tc>
        <w:tc>
          <w:tcPr>
            <w:tcW w:w="3231" w:type="dxa"/>
            <w:vAlign w:val="center"/>
          </w:tcPr>
          <w:p w:rsidR="00A94B14" w:rsidRDefault="00A94B14" w:rsidP="00C61744">
            <w:pPr>
              <w:ind w:left="112"/>
              <w:rPr>
                <w:snapToGrid w:val="0"/>
                <w:color w:val="000000"/>
              </w:rPr>
            </w:pPr>
            <w:r>
              <w:rPr>
                <w:snapToGrid w:val="0"/>
                <w:color w:val="000000"/>
              </w:rPr>
              <w:t>Remove front panel, adjust aeration disc to suit correct colour flame.</w:t>
            </w:r>
          </w:p>
        </w:tc>
      </w:tr>
    </w:tbl>
    <w:p w:rsidR="00C61744" w:rsidRDefault="00C61744" w:rsidP="00C61744">
      <w:pPr>
        <w:ind w:left="720"/>
      </w:pPr>
    </w:p>
    <w:p w:rsidR="00A94B14" w:rsidRPr="009321A5" w:rsidRDefault="00A94B14" w:rsidP="00C61744">
      <w:pPr>
        <w:ind w:left="720"/>
      </w:pPr>
      <w:r>
        <w:t>Valves, igniter, aeration adjustment etc can be accessed by removing front panel. This can be done by removing knobs, undoing screws which hold the front panel. This will enable the equipment to be accessed and adjusted where necessary.</w:t>
      </w:r>
    </w:p>
    <w:sectPr w:rsidR="00A94B14" w:rsidRPr="009321A5" w:rsidSect="0094633A">
      <w:footerReference w:type="default" r:id="rId15"/>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D9" w:rsidRDefault="00483DD9" w:rsidP="00E67DD3">
      <w:r>
        <w:separator/>
      </w:r>
    </w:p>
  </w:endnote>
  <w:endnote w:type="continuationSeparator" w:id="0">
    <w:p w:rsidR="00483DD9" w:rsidRDefault="00483DD9" w:rsidP="00E6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91F" w:rsidRDefault="0094633A">
    <w:pPr>
      <w:pStyle w:val="Footer"/>
      <w:jc w:val="right"/>
    </w:pPr>
    <w:r>
      <w:fldChar w:fldCharType="begin"/>
    </w:r>
    <w:r>
      <w:instrText xml:space="preserve"> PAGE   \* MERGEFORMAT </w:instrText>
    </w:r>
    <w:r>
      <w:fldChar w:fldCharType="separate"/>
    </w:r>
    <w:r w:rsidR="00217B8C">
      <w:rPr>
        <w:noProof/>
      </w:rPr>
      <w:t>6</w:t>
    </w:r>
    <w:r>
      <w:rPr>
        <w:noProof/>
      </w:rPr>
      <w:fldChar w:fldCharType="end"/>
    </w:r>
  </w:p>
  <w:p w:rsidR="007A391F" w:rsidRDefault="007A3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D9" w:rsidRDefault="00483DD9" w:rsidP="00E67DD3">
      <w:r>
        <w:separator/>
      </w:r>
    </w:p>
  </w:footnote>
  <w:footnote w:type="continuationSeparator" w:id="0">
    <w:p w:rsidR="00483DD9" w:rsidRDefault="00483DD9" w:rsidP="00E6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A78"/>
    <w:multiLevelType w:val="hybridMultilevel"/>
    <w:tmpl w:val="2838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6F343A"/>
    <w:multiLevelType w:val="hybridMultilevel"/>
    <w:tmpl w:val="AC943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8420F1"/>
    <w:multiLevelType w:val="hybridMultilevel"/>
    <w:tmpl w:val="A5A89DD8"/>
    <w:lvl w:ilvl="0" w:tplc="857438B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CF4D1B"/>
    <w:multiLevelType w:val="hybridMultilevel"/>
    <w:tmpl w:val="AEEC2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30"/>
    <w:rsid w:val="00005847"/>
    <w:rsid w:val="00030467"/>
    <w:rsid w:val="0008295E"/>
    <w:rsid w:val="000E0C5A"/>
    <w:rsid w:val="001038B0"/>
    <w:rsid w:val="00150EAA"/>
    <w:rsid w:val="00160D13"/>
    <w:rsid w:val="00180BE4"/>
    <w:rsid w:val="001A2023"/>
    <w:rsid w:val="001F3EB3"/>
    <w:rsid w:val="00217B8C"/>
    <w:rsid w:val="002624B7"/>
    <w:rsid w:val="003025CC"/>
    <w:rsid w:val="00471AF1"/>
    <w:rsid w:val="00483D9B"/>
    <w:rsid w:val="00483DD9"/>
    <w:rsid w:val="004F773F"/>
    <w:rsid w:val="005E0667"/>
    <w:rsid w:val="00613DA1"/>
    <w:rsid w:val="006711EF"/>
    <w:rsid w:val="006D5A21"/>
    <w:rsid w:val="0070565A"/>
    <w:rsid w:val="00773D0A"/>
    <w:rsid w:val="007A391F"/>
    <w:rsid w:val="008C5324"/>
    <w:rsid w:val="008D6C19"/>
    <w:rsid w:val="008F6752"/>
    <w:rsid w:val="009321A5"/>
    <w:rsid w:val="0094633A"/>
    <w:rsid w:val="009A1214"/>
    <w:rsid w:val="00A479A8"/>
    <w:rsid w:val="00A94B14"/>
    <w:rsid w:val="00B33FFB"/>
    <w:rsid w:val="00B70B30"/>
    <w:rsid w:val="00BB50D1"/>
    <w:rsid w:val="00BE284C"/>
    <w:rsid w:val="00C61744"/>
    <w:rsid w:val="00C869EE"/>
    <w:rsid w:val="00D33257"/>
    <w:rsid w:val="00D55060"/>
    <w:rsid w:val="00D86A16"/>
    <w:rsid w:val="00E41B49"/>
    <w:rsid w:val="00E67DD3"/>
    <w:rsid w:val="00E72497"/>
    <w:rsid w:val="00ED01AC"/>
    <w:rsid w:val="00F662DE"/>
    <w:rsid w:val="00FF5C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35D658-CB1A-4ED0-847B-86BF03F6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B3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B70B30"/>
    <w:pPr>
      <w:keepNext/>
      <w:outlineLvl w:val="0"/>
    </w:pPr>
    <w:rPr>
      <w:b/>
      <w:bCs/>
      <w:sz w:val="32"/>
    </w:rPr>
  </w:style>
  <w:style w:type="paragraph" w:styleId="Heading2">
    <w:name w:val="heading 2"/>
    <w:basedOn w:val="Normal"/>
    <w:next w:val="Normal"/>
    <w:link w:val="Heading2Char"/>
    <w:qFormat/>
    <w:rsid w:val="00B70B30"/>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B30"/>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rsid w:val="00B70B30"/>
    <w:rPr>
      <w:rFonts w:ascii="Times New Roman" w:eastAsia="Times New Roman" w:hAnsi="Times New Roman" w:cs="Times New Roman"/>
      <w:b/>
      <w:sz w:val="28"/>
      <w:szCs w:val="24"/>
    </w:rPr>
  </w:style>
  <w:style w:type="paragraph" w:styleId="BodyText">
    <w:name w:val="Body Text"/>
    <w:basedOn w:val="Normal"/>
    <w:link w:val="BodyTextChar"/>
    <w:semiHidden/>
    <w:rsid w:val="00B70B30"/>
    <w:rPr>
      <w:color w:val="99CC00"/>
    </w:rPr>
  </w:style>
  <w:style w:type="character" w:customStyle="1" w:styleId="BodyTextChar">
    <w:name w:val="Body Text Char"/>
    <w:basedOn w:val="DefaultParagraphFont"/>
    <w:link w:val="BodyText"/>
    <w:semiHidden/>
    <w:rsid w:val="00B70B30"/>
    <w:rPr>
      <w:rFonts w:ascii="Times New Roman" w:eastAsia="Times New Roman" w:hAnsi="Times New Roman" w:cs="Times New Roman"/>
      <w:color w:val="99CC00"/>
      <w:sz w:val="24"/>
      <w:szCs w:val="24"/>
    </w:rPr>
  </w:style>
  <w:style w:type="paragraph" w:styleId="Header">
    <w:name w:val="header"/>
    <w:basedOn w:val="Normal"/>
    <w:link w:val="HeaderChar"/>
    <w:uiPriority w:val="99"/>
    <w:unhideWhenUsed/>
    <w:rsid w:val="00E67DD3"/>
    <w:pPr>
      <w:tabs>
        <w:tab w:val="center" w:pos="4513"/>
        <w:tab w:val="right" w:pos="9026"/>
      </w:tabs>
    </w:pPr>
  </w:style>
  <w:style w:type="character" w:customStyle="1" w:styleId="HeaderChar">
    <w:name w:val="Header Char"/>
    <w:basedOn w:val="DefaultParagraphFont"/>
    <w:link w:val="Header"/>
    <w:uiPriority w:val="99"/>
    <w:rsid w:val="00E67DD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67DD3"/>
    <w:pPr>
      <w:tabs>
        <w:tab w:val="center" w:pos="4513"/>
        <w:tab w:val="right" w:pos="9026"/>
      </w:tabs>
    </w:pPr>
  </w:style>
  <w:style w:type="character" w:customStyle="1" w:styleId="FooterChar">
    <w:name w:val="Footer Char"/>
    <w:basedOn w:val="DefaultParagraphFont"/>
    <w:link w:val="Footer"/>
    <w:uiPriority w:val="99"/>
    <w:rsid w:val="00E67DD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2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A36F60D6A4D438D06875A345DF2FF" ma:contentTypeVersion="16" ma:contentTypeDescription="Create a new document." ma:contentTypeScope="" ma:versionID="8e0b99a60903d7d31da69135245f2069">
  <xsd:schema xmlns:xsd="http://www.w3.org/2001/XMLSchema" xmlns:xs="http://www.w3.org/2001/XMLSchema" xmlns:p="http://schemas.microsoft.com/office/2006/metadata/properties" xmlns:ns2="41046a7d-50af-49fa-86ea-35065f71f817" xmlns:ns3="377328f9-dd23-44d9-b637-6c45de695847" targetNamespace="http://schemas.microsoft.com/office/2006/metadata/properties" ma:root="true" ma:fieldsID="ed4380e43812b09ac47387cd7cb86fcb" ns2:_="" ns3:_="">
    <xsd:import namespace="41046a7d-50af-49fa-86ea-35065f71f817"/>
    <xsd:import namespace="377328f9-dd23-44d9-b637-6c45de695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46a7d-50af-49fa-86ea-35065f71f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705e43-966e-4082-ab49-522cb4917d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7328f9-dd23-44d9-b637-6c45de695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189b95-ab26-4c0f-9dec-7dd99c16539e}" ma:internalName="TaxCatchAll" ma:showField="CatchAllData" ma:web="377328f9-dd23-44d9-b637-6c45de695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046a7d-50af-49fa-86ea-35065f71f817">
      <Terms xmlns="http://schemas.microsoft.com/office/infopath/2007/PartnerControls"/>
    </lcf76f155ced4ddcb4097134ff3c332f>
    <TaxCatchAll xmlns="377328f9-dd23-44d9-b637-6c45de695847" xsi:nil="true"/>
  </documentManagement>
</p:properties>
</file>

<file path=customXml/itemProps1.xml><?xml version="1.0" encoding="utf-8"?>
<ds:datastoreItem xmlns:ds="http://schemas.openxmlformats.org/officeDocument/2006/customXml" ds:itemID="{A0137A69-75CB-485F-9731-757D0AC906F9}"/>
</file>

<file path=customXml/itemProps2.xml><?xml version="1.0" encoding="utf-8"?>
<ds:datastoreItem xmlns:ds="http://schemas.openxmlformats.org/officeDocument/2006/customXml" ds:itemID="{BA73E67A-FD58-4705-8565-21ED8B65013F}"/>
</file>

<file path=customXml/itemProps3.xml><?xml version="1.0" encoding="utf-8"?>
<ds:datastoreItem xmlns:ds="http://schemas.openxmlformats.org/officeDocument/2006/customXml" ds:itemID="{829E15E1-ECD3-4B2F-85F7-A4AA02249CD9}"/>
</file>

<file path=docProps/app.xml><?xml version="1.0" encoding="utf-8"?>
<Properties xmlns="http://schemas.openxmlformats.org/officeDocument/2006/extended-properties" xmlns:vt="http://schemas.openxmlformats.org/officeDocument/2006/docPropsVTypes">
  <Template>Normal</Template>
  <TotalTime>16</TotalTime>
  <Pages>8</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Brenton Johns</cp:lastModifiedBy>
  <cp:revision>7</cp:revision>
  <cp:lastPrinted>2009-10-29T09:39:00Z</cp:lastPrinted>
  <dcterms:created xsi:type="dcterms:W3CDTF">2017-10-04T04:07:00Z</dcterms:created>
  <dcterms:modified xsi:type="dcterms:W3CDTF">2022-10-12T02:27:00Z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0x010100BE0A36F60D6A4D438D06875A345DF2FF</vt:lpwstr>
  </property>
</Properties>
</file>